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39" w:rsidRPr="002C65EF" w:rsidRDefault="00E34339" w:rsidP="00E34339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C65EF">
        <w:rPr>
          <w:rFonts w:ascii="Arial" w:hAnsi="Arial" w:cs="Arial"/>
          <w:b/>
          <w:sz w:val="20"/>
          <w:szCs w:val="20"/>
        </w:rPr>
        <w:t xml:space="preserve">ОБРАЗЕЦ НА ПОНУДАТА / </w:t>
      </w:r>
      <w:r w:rsidRPr="000C6870">
        <w:rPr>
          <w:rFonts w:ascii="Arial" w:hAnsi="Arial" w:cs="Arial"/>
          <w:b/>
          <w:i/>
          <w:sz w:val="20"/>
          <w:szCs w:val="20"/>
          <w:lang w:val="en-GB"/>
        </w:rPr>
        <w:t>OFFER FORM</w:t>
      </w:r>
    </w:p>
    <w:p w:rsidR="00E34339" w:rsidRPr="00830A1B" w:rsidRDefault="00E34339" w:rsidP="00E34339">
      <w:pPr>
        <w:pStyle w:val="ListParagraph"/>
        <w:spacing w:before="60" w:after="60" w:line="240" w:lineRule="auto"/>
        <w:rPr>
          <w:rFonts w:asciiTheme="minorHAnsi" w:hAnsiTheme="minorHAnsi" w:cs="Arial"/>
          <w:b/>
          <w:sz w:val="20"/>
          <w:szCs w:val="20"/>
        </w:rPr>
      </w:pPr>
    </w:p>
    <w:p w:rsidR="00D768C0" w:rsidRPr="005A406C" w:rsidRDefault="00E858BA" w:rsidP="00D768C0">
      <w:pPr>
        <w:pStyle w:val="ListParagraph"/>
        <w:numPr>
          <w:ilvl w:val="0"/>
          <w:numId w:val="1"/>
        </w:num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 w:cs="Arial"/>
          <w:b/>
          <w:sz w:val="20"/>
          <w:szCs w:val="20"/>
        </w:rPr>
        <w:t>Лап-топ</w:t>
      </w:r>
      <w:proofErr w:type="spellEnd"/>
      <w:r w:rsidR="00D768C0" w:rsidRPr="005A406C">
        <w:rPr>
          <w:rFonts w:asciiTheme="minorHAnsi" w:hAnsiTheme="minorHAnsi" w:cs="Arial"/>
          <w:b/>
          <w:sz w:val="20"/>
          <w:szCs w:val="20"/>
        </w:rPr>
        <w:t xml:space="preserve"> / </w:t>
      </w:r>
      <w:r>
        <w:rPr>
          <w:rFonts w:asciiTheme="minorHAnsi" w:hAnsiTheme="minorHAnsi" w:cs="Arial"/>
          <w:b/>
          <w:sz w:val="20"/>
          <w:szCs w:val="20"/>
          <w:lang w:val="en-US"/>
        </w:rPr>
        <w:t>Lap-top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E34339" w:rsidRPr="00E858BA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Ве молиме имајте предвид </w:t>
      </w:r>
      <w:r w:rsidR="00E858BA">
        <w:rPr>
          <w:rFonts w:asciiTheme="minorHAnsi" w:hAnsiTheme="minorHAnsi" w:cs="Arial"/>
          <w:b/>
          <w:sz w:val="20"/>
          <w:szCs w:val="20"/>
        </w:rPr>
        <w:t xml:space="preserve">дека </w:t>
      </w:r>
      <w:proofErr w:type="spellStart"/>
      <w:r w:rsidR="00E858BA">
        <w:rPr>
          <w:rFonts w:asciiTheme="minorHAnsi" w:hAnsiTheme="minorHAnsi" w:cs="Arial"/>
          <w:b/>
          <w:sz w:val="20"/>
          <w:szCs w:val="20"/>
        </w:rPr>
        <w:t>лап-топот</w:t>
      </w:r>
      <w:proofErr w:type="spellEnd"/>
      <w:r w:rsidR="00E858BA">
        <w:rPr>
          <w:rFonts w:asciiTheme="minorHAnsi" w:hAnsiTheme="minorHAnsi" w:cs="Arial"/>
          <w:b/>
          <w:sz w:val="20"/>
          <w:szCs w:val="20"/>
        </w:rPr>
        <w:t xml:space="preserve"> треба да биде од ЕУ потекло</w:t>
      </w:r>
    </w:p>
    <w:p w:rsidR="00E34339" w:rsidRDefault="00E34339" w:rsidP="00E34339">
      <w:pPr>
        <w:spacing w:before="60" w:after="60" w:line="240" w:lineRule="auto"/>
        <w:jc w:val="center"/>
      </w:pPr>
      <w:r w:rsidRPr="005A406C">
        <w:rPr>
          <w:rFonts w:asciiTheme="minorHAnsi" w:hAnsiTheme="minorHAnsi" w:cs="Arial"/>
          <w:b/>
          <w:sz w:val="20"/>
          <w:szCs w:val="20"/>
        </w:rPr>
        <w:t>За</w:t>
      </w:r>
      <w:r w:rsidR="0034553E">
        <w:rPr>
          <w:rFonts w:asciiTheme="minorHAnsi" w:hAnsiTheme="minorHAnsi" w:cs="Arial"/>
          <w:b/>
          <w:sz w:val="20"/>
          <w:szCs w:val="20"/>
        </w:rPr>
        <w:t xml:space="preserve"> повеќе детали околу </w:t>
      </w:r>
      <w:r w:rsidR="00E858BA">
        <w:rPr>
          <w:rFonts w:asciiTheme="minorHAnsi" w:hAnsiTheme="minorHAnsi" w:cs="Arial"/>
          <w:b/>
          <w:sz w:val="20"/>
          <w:szCs w:val="20"/>
        </w:rPr>
        <w:t xml:space="preserve">потеклото од </w:t>
      </w:r>
      <w:r w:rsidR="0034553E">
        <w:rPr>
          <w:rFonts w:asciiTheme="minorHAnsi" w:hAnsiTheme="minorHAnsi" w:cs="Arial"/>
          <w:b/>
          <w:sz w:val="20"/>
          <w:szCs w:val="20"/>
        </w:rPr>
        <w:t>ЕУ, в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е молиме посетете ја страницата </w:t>
      </w:r>
      <w:hyperlink r:id="rId7" w:history="1">
        <w:r w:rsidR="00E858BA" w:rsidRPr="00207E44">
          <w:rPr>
            <w:rStyle w:val="Hyperlink"/>
          </w:rPr>
          <w:t>http://ec.europa.eu/europeaid/prag/?header_description=DEVCO+Prag+to+financial+and+contractual+procedures+applicable+to+external+actions+financed+from+the+general+budget+of+the+EU+and+from+the+11th+EDF&amp;header_keywords=ePrag%2C+europa</w:t>
        </w:r>
      </w:hyperlink>
    </w:p>
    <w:p w:rsidR="00E858BA" w:rsidRPr="00E858BA" w:rsidRDefault="00E858BA" w:rsidP="00E858BA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Please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note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that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the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laptop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should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be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of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EU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origin</w:t>
      </w:r>
      <w:proofErr w:type="spellEnd"/>
    </w:p>
    <w:p w:rsidR="00D768C0" w:rsidRDefault="00E858BA" w:rsidP="00E858BA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For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more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details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on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the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origin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of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the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EU,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please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visit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the</w:t>
      </w:r>
      <w:proofErr w:type="spellEnd"/>
      <w:r w:rsidRPr="00E858B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E858BA">
        <w:rPr>
          <w:rFonts w:asciiTheme="minorHAnsi" w:hAnsiTheme="minorHAnsi" w:cs="Arial"/>
          <w:b/>
          <w:sz w:val="20"/>
          <w:szCs w:val="20"/>
        </w:rPr>
        <w:t>site</w:t>
      </w:r>
      <w:proofErr w:type="spellEnd"/>
    </w:p>
    <w:p w:rsidR="00E858BA" w:rsidRDefault="00E858BA" w:rsidP="00E858BA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hyperlink r:id="rId8" w:history="1">
        <w:r w:rsidRPr="00207E44">
          <w:rPr>
            <w:rStyle w:val="Hyperlink"/>
          </w:rPr>
          <w:t>http://ec.europa.eu/europeaid/prag/?header_description=DEVCO+Prag+to+financial+and+contractual+procedures+applicable+to+external+actions+financed+from+the+general+budget+of+the+EU+and+from+the+11th+EDF&amp;header_keywords=ePrag%2C+europa</w:t>
        </w:r>
      </w:hyperlink>
    </w:p>
    <w:p w:rsidR="00E858BA" w:rsidRPr="00E858BA" w:rsidRDefault="00E858BA" w:rsidP="00E858BA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768C0" w:rsidRPr="00D768C0" w:rsidRDefault="00D768C0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tbl>
      <w:tblPr>
        <w:tblStyle w:val="TableGrid"/>
        <w:tblW w:w="9354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980"/>
        <w:gridCol w:w="2250"/>
        <w:gridCol w:w="2520"/>
      </w:tblGrid>
      <w:tr w:rsidR="00E858BA" w:rsidRPr="005A406C" w:rsidTr="003F6AB7">
        <w:tc>
          <w:tcPr>
            <w:tcW w:w="2604" w:type="dxa"/>
            <w:vMerge w:val="restart"/>
            <w:shd w:val="clear" w:color="auto" w:fill="DBE5F1" w:themeFill="accent1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E858BA" w:rsidRDefault="00E858BA" w:rsidP="00E858B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Цена</w:t>
            </w:r>
          </w:p>
          <w:p w:rsidR="00E858BA" w:rsidRPr="00E858BA" w:rsidRDefault="00E858BA" w:rsidP="00E858BA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(без ДДВ)</w:t>
            </w:r>
          </w:p>
        </w:tc>
        <w:tc>
          <w:tcPr>
            <w:tcW w:w="2520" w:type="dxa"/>
            <w:vMerge w:val="restart"/>
            <w:shd w:val="clear" w:color="auto" w:fill="F2DBDB" w:themeFill="accent2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858BA" w:rsidRPr="005A406C" w:rsidTr="003F6AB7">
        <w:tc>
          <w:tcPr>
            <w:tcW w:w="2604" w:type="dxa"/>
            <w:vMerge/>
            <w:shd w:val="clear" w:color="auto" w:fill="DBE5F1" w:themeFill="accent1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2520" w:type="dxa"/>
            <w:vMerge/>
            <w:shd w:val="clear" w:color="auto" w:fill="F2DBDB" w:themeFill="accent2" w:themeFillTint="33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858BA" w:rsidRPr="005A406C" w:rsidTr="003F6AB7">
        <w:tc>
          <w:tcPr>
            <w:tcW w:w="2604" w:type="dxa"/>
            <w:shd w:val="clear" w:color="auto" w:fill="DBE5F1" w:themeFill="accent1" w:themeFillTint="33"/>
          </w:tcPr>
          <w:p w:rsidR="00E858BA" w:rsidRDefault="003F6AB7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lang w:val="mk-MK"/>
              </w:rPr>
              <w:t>Лап-топ</w:t>
            </w:r>
            <w:proofErr w:type="spellEnd"/>
          </w:p>
          <w:p w:rsidR="003F6AB7" w:rsidRPr="003F6AB7" w:rsidRDefault="003F6AB7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3F6AB7">
              <w:rPr>
                <w:rFonts w:asciiTheme="minorHAnsi" w:hAnsiTheme="minorHAnsi" w:cs="Arial"/>
                <w:bCs/>
                <w:lang w:val="mk-MK"/>
              </w:rPr>
              <w:t>Спецификации- прилог 1</w:t>
            </w:r>
          </w:p>
        </w:tc>
        <w:tc>
          <w:tcPr>
            <w:tcW w:w="1980" w:type="dxa"/>
            <w:vAlign w:val="center"/>
          </w:tcPr>
          <w:p w:rsidR="00E858BA" w:rsidRPr="005A406C" w:rsidRDefault="003F6AB7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>
              <w:rPr>
                <w:rFonts w:asciiTheme="minorHAnsi" w:hAnsiTheme="minorHAnsi" w:cs="Arial"/>
                <w:bCs/>
              </w:rPr>
              <w:t>1</w:t>
            </w:r>
          </w:p>
        </w:tc>
        <w:tc>
          <w:tcPr>
            <w:tcW w:w="2250" w:type="dxa"/>
            <w:vAlign w:val="center"/>
          </w:tcPr>
          <w:p w:rsidR="00E858BA" w:rsidRPr="005A406C" w:rsidRDefault="00E858B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3F6AB7" w:rsidRDefault="003F6AB7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Lap-top</w:t>
            </w:r>
          </w:p>
          <w:p w:rsidR="00E858BA" w:rsidRPr="003F6AB7" w:rsidRDefault="003F6AB7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3F6AB7">
              <w:rPr>
                <w:rFonts w:asciiTheme="minorHAnsi" w:hAnsiTheme="minorHAnsi" w:cs="Arial"/>
                <w:bCs/>
              </w:rPr>
              <w:t>Specification- Annex 1</w:t>
            </w:r>
            <w:r w:rsidR="00E858BA" w:rsidRPr="003F6AB7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</w:tc>
      </w:tr>
    </w:tbl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15"/>
      </w:tblGrid>
      <w:tr w:rsidR="00E34339" w:rsidRPr="005A406C" w:rsidTr="004A3C27">
        <w:trPr>
          <w:jc w:val="center"/>
        </w:trPr>
        <w:tc>
          <w:tcPr>
            <w:tcW w:w="3080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Датум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Date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Печат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Stamp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Потпис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Signature</w:t>
            </w:r>
          </w:p>
        </w:tc>
      </w:tr>
    </w:tbl>
    <w:p w:rsidR="00F5517C" w:rsidRDefault="00F5517C"/>
    <w:sectPr w:rsidR="00F5517C" w:rsidSect="00C10B74">
      <w:headerReference w:type="default" r:id="rId9"/>
      <w:foot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85" w:rsidRDefault="00391485" w:rsidP="00826D59">
      <w:pPr>
        <w:spacing w:after="0" w:line="240" w:lineRule="auto"/>
      </w:pPr>
      <w:r>
        <w:separator/>
      </w:r>
    </w:p>
  </w:endnote>
  <w:endnote w:type="continuationSeparator" w:id="0">
    <w:p w:rsidR="00391485" w:rsidRDefault="00391485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D44CB2" w:rsidRDefault="00D44CB2" w:rsidP="00D44CB2">
    <w:pPr>
      <w:pStyle w:val="Footer"/>
      <w:jc w:val="center"/>
    </w:pPr>
    <w:r>
      <w:t>Центар за управување со промени, Скопје</w:t>
    </w:r>
  </w:p>
  <w:p w:rsidR="00C10B74" w:rsidRDefault="00C1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85" w:rsidRDefault="00391485" w:rsidP="00826D59">
      <w:pPr>
        <w:spacing w:after="0" w:line="240" w:lineRule="auto"/>
      </w:pPr>
      <w:r>
        <w:separator/>
      </w:r>
    </w:p>
  </w:footnote>
  <w:footnote w:type="continuationSeparator" w:id="0">
    <w:p w:rsidR="00391485" w:rsidRDefault="00391485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59" w:rsidRDefault="00826D59">
    <w:pPr>
      <w:pStyle w:val="Header"/>
    </w:pPr>
  </w:p>
  <w:tbl>
    <w:tblPr>
      <w:tblW w:w="12143" w:type="dxa"/>
      <w:tblInd w:w="-1560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F35BCE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</w:p>
        <w:p w:rsidR="008D622A" w:rsidRDefault="00F35BCE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F35BCE">
            <w:rPr>
              <w:rFonts w:ascii="Tahoma" w:hAnsi="Tahoma" w:cs="Tahoma"/>
              <w:b/>
              <w:color w:val="FFFFFF"/>
              <w:sz w:val="20"/>
              <w:szCs w:val="24"/>
            </w:rPr>
            <w:t>Надминување на јазовите помеѓу мултинационалните компании и домашните МСП во Македонија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8D622A" w:rsidRDefault="008D622A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ЕУ за Претпристапна Помош - ИПА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39"/>
    <w:rsid w:val="00105838"/>
    <w:rsid w:val="00202B43"/>
    <w:rsid w:val="002217E6"/>
    <w:rsid w:val="00326513"/>
    <w:rsid w:val="0034553E"/>
    <w:rsid w:val="00391485"/>
    <w:rsid w:val="003F6AB7"/>
    <w:rsid w:val="00495BFA"/>
    <w:rsid w:val="00515BAD"/>
    <w:rsid w:val="006971FF"/>
    <w:rsid w:val="006A1A75"/>
    <w:rsid w:val="006D0546"/>
    <w:rsid w:val="00751213"/>
    <w:rsid w:val="00826D59"/>
    <w:rsid w:val="00863825"/>
    <w:rsid w:val="008D622A"/>
    <w:rsid w:val="00912B2A"/>
    <w:rsid w:val="009960F0"/>
    <w:rsid w:val="009B6E67"/>
    <w:rsid w:val="00A013AB"/>
    <w:rsid w:val="00AE7FE4"/>
    <w:rsid w:val="00AF7BBF"/>
    <w:rsid w:val="00BE6E17"/>
    <w:rsid w:val="00C10B74"/>
    <w:rsid w:val="00D44CB2"/>
    <w:rsid w:val="00D768C0"/>
    <w:rsid w:val="00E23514"/>
    <w:rsid w:val="00E34339"/>
    <w:rsid w:val="00E858BA"/>
    <w:rsid w:val="00F35BCE"/>
    <w:rsid w:val="00F5517C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27C07-C8D3-4A33-BD9C-3B7CF11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4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?header_description=DEVCO+Prag+to+financial+and+contractual+procedures+applicable+to+external+actions+financed+from+the+general+budget+of+the+EU+and+from+the+11th+EDF&amp;header_keywords=ePrag%2C+euro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?header_description=DEVCO+Prag+to+financial+and+contractual+procedures+applicable+to+external+actions+financed+from+the+general+budget+of+the+EU+and+from+the+11th+EDF&amp;header_keywords=ePrag%2C+euro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Tereza Kocovska</cp:lastModifiedBy>
  <cp:revision>3</cp:revision>
  <dcterms:created xsi:type="dcterms:W3CDTF">2018-07-02T10:56:00Z</dcterms:created>
  <dcterms:modified xsi:type="dcterms:W3CDTF">2018-07-02T11:09:00Z</dcterms:modified>
</cp:coreProperties>
</file>