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0A6334" w14:textId="77777777" w:rsidR="007C0B2B" w:rsidRPr="00FE3D7D" w:rsidRDefault="007C0B2B" w:rsidP="007C0B2B">
      <w:pPr>
        <w:jc w:val="center"/>
        <w:rPr>
          <w:rFonts w:ascii="Calibri" w:hAnsi="Calibri" w:cs="Calibri"/>
          <w:b/>
          <w:sz w:val="28"/>
          <w:szCs w:val="28"/>
        </w:rPr>
      </w:pPr>
      <w:r w:rsidRPr="00FE3D7D">
        <w:rPr>
          <w:rFonts w:ascii="Calibri" w:hAnsi="Calibri" w:cs="Calibri"/>
          <w:b/>
          <w:sz w:val="28"/>
          <w:szCs w:val="28"/>
        </w:rPr>
        <w:t>SERVICE CONTRACT NOTICE</w:t>
      </w:r>
    </w:p>
    <w:p w14:paraId="19226B99" w14:textId="77777777" w:rsidR="007C0B2B" w:rsidRPr="00FE3D7D" w:rsidRDefault="007C0B2B" w:rsidP="007C0B2B">
      <w:pPr>
        <w:jc w:val="center"/>
        <w:rPr>
          <w:rStyle w:val="Strong"/>
          <w:rFonts w:ascii="Calibri" w:hAnsi="Calibri" w:cs="Calibri"/>
          <w:sz w:val="28"/>
          <w:szCs w:val="28"/>
        </w:rPr>
      </w:pPr>
    </w:p>
    <w:p w14:paraId="388CA2A0" w14:textId="4AB15B06" w:rsidR="007C0B2B" w:rsidRPr="00FE3D7D" w:rsidRDefault="007C0B2B" w:rsidP="007C0B2B">
      <w:pPr>
        <w:jc w:val="center"/>
        <w:rPr>
          <w:rFonts w:ascii="Calibri" w:hAnsi="Calibri" w:cs="Calibri"/>
          <w:sz w:val="28"/>
          <w:szCs w:val="28"/>
        </w:rPr>
      </w:pPr>
      <w:r w:rsidRPr="00FE3D7D">
        <w:rPr>
          <w:rFonts w:ascii="Calibri" w:hAnsi="Calibri" w:cs="Calibri"/>
        </w:rPr>
        <w:t xml:space="preserve"> </w:t>
      </w:r>
      <w:proofErr w:type="gramStart"/>
      <w:r w:rsidR="00C85AE2" w:rsidRPr="00C85AE2">
        <w:rPr>
          <w:rStyle w:val="Strong"/>
          <w:rFonts w:ascii="Calibri" w:hAnsi="Calibri" w:cs="Calibri"/>
          <w:sz w:val="28"/>
          <w:szCs w:val="28"/>
        </w:rPr>
        <w:t>Provision  of</w:t>
      </w:r>
      <w:proofErr w:type="gramEnd"/>
      <w:r w:rsidR="00C85AE2" w:rsidRPr="00C85AE2">
        <w:rPr>
          <w:rStyle w:val="Strong"/>
          <w:rFonts w:ascii="Calibri" w:hAnsi="Calibri" w:cs="Calibri"/>
          <w:sz w:val="28"/>
          <w:szCs w:val="28"/>
        </w:rPr>
        <w:t xml:space="preserve"> services for </w:t>
      </w:r>
      <w:r w:rsidR="002766FC">
        <w:rPr>
          <w:rStyle w:val="Strong"/>
          <w:rFonts w:ascii="Calibri" w:hAnsi="Calibri" w:cs="Calibri"/>
          <w:sz w:val="28"/>
          <w:szCs w:val="28"/>
        </w:rPr>
        <w:t>Tax expert</w:t>
      </w:r>
      <w:r w:rsidR="00C85AE2" w:rsidRPr="00C85AE2">
        <w:rPr>
          <w:rStyle w:val="Strong"/>
          <w:rFonts w:ascii="Calibri" w:hAnsi="Calibri" w:cs="Calibri"/>
          <w:sz w:val="28"/>
          <w:szCs w:val="28"/>
        </w:rPr>
        <w:t xml:space="preserve"> to verify collected data</w:t>
      </w:r>
      <w:r w:rsidR="002766FC">
        <w:rPr>
          <w:rStyle w:val="Strong"/>
          <w:rFonts w:ascii="Calibri" w:hAnsi="Calibri" w:cs="Calibri"/>
          <w:sz w:val="28"/>
          <w:szCs w:val="28"/>
        </w:rPr>
        <w:t xml:space="preserve"> on para-fiscal charges</w:t>
      </w:r>
      <w:r w:rsidRPr="00FE3D7D">
        <w:rPr>
          <w:rStyle w:val="Strong"/>
          <w:rFonts w:ascii="Calibri" w:hAnsi="Calibri" w:cs="Calibri"/>
          <w:sz w:val="28"/>
          <w:szCs w:val="28"/>
        </w:rPr>
        <w:br/>
        <w:t xml:space="preserve">Location - </w:t>
      </w:r>
      <w:r w:rsidRPr="00FE3D7D">
        <w:rPr>
          <w:rStyle w:val="Emphasis"/>
          <w:rFonts w:ascii="Calibri" w:hAnsi="Calibri" w:cs="Calibri"/>
          <w:sz w:val="28"/>
          <w:szCs w:val="28"/>
        </w:rPr>
        <w:t xml:space="preserve">North Macedonia </w:t>
      </w:r>
    </w:p>
    <w:p w14:paraId="06479AB6" w14:textId="77777777" w:rsidR="007C0B2B" w:rsidRPr="00FE3D7D" w:rsidRDefault="007C0B2B" w:rsidP="007C0B2B">
      <w:pPr>
        <w:ind w:left="709" w:hanging="349"/>
        <w:outlineLvl w:val="0"/>
        <w:rPr>
          <w:rStyle w:val="Strong"/>
          <w:rFonts w:ascii="Calibri" w:hAnsi="Calibri" w:cs="Calibri"/>
        </w:rPr>
      </w:pPr>
    </w:p>
    <w:p w14:paraId="588691AA" w14:textId="77777777" w:rsidR="007C0B2B" w:rsidRPr="00FE3D7D" w:rsidRDefault="007C0B2B" w:rsidP="007C0B2B">
      <w:pPr>
        <w:ind w:left="709" w:hanging="349"/>
        <w:outlineLvl w:val="0"/>
        <w:rPr>
          <w:rStyle w:val="Strong"/>
          <w:rFonts w:ascii="Calibri" w:hAnsi="Calibri" w:cs="Calibri"/>
        </w:rPr>
      </w:pPr>
    </w:p>
    <w:p w14:paraId="3D8F12BB" w14:textId="77777777" w:rsidR="007C0B2B" w:rsidRPr="00FE3D7D" w:rsidRDefault="007C0B2B" w:rsidP="007C0B2B">
      <w:pPr>
        <w:ind w:left="709" w:hanging="349"/>
        <w:outlineLvl w:val="0"/>
        <w:rPr>
          <w:rStyle w:val="Strong"/>
          <w:rFonts w:ascii="Calibri" w:hAnsi="Calibri" w:cs="Calibri"/>
        </w:rPr>
      </w:pPr>
    </w:p>
    <w:p w14:paraId="34CE5FF5" w14:textId="77777777" w:rsidR="007C0B2B" w:rsidRPr="00FE3D7D" w:rsidRDefault="007C0B2B" w:rsidP="007C0B2B">
      <w:pPr>
        <w:ind w:left="709" w:hanging="349"/>
        <w:outlineLvl w:val="0"/>
        <w:rPr>
          <w:rStyle w:val="Strong"/>
          <w:rFonts w:ascii="Calibri" w:hAnsi="Calibri" w:cs="Calibri"/>
        </w:rPr>
      </w:pPr>
    </w:p>
    <w:p w14:paraId="0406EFA5" w14:textId="77777777" w:rsidR="007C0B2B" w:rsidRPr="00FE3D7D" w:rsidRDefault="007C0B2B" w:rsidP="007C0B2B">
      <w:pPr>
        <w:ind w:left="709" w:hanging="349"/>
        <w:outlineLvl w:val="0"/>
        <w:rPr>
          <w:rFonts w:ascii="Calibri" w:hAnsi="Calibri" w:cs="Calibri"/>
          <w:sz w:val="24"/>
          <w:szCs w:val="24"/>
        </w:rPr>
      </w:pPr>
      <w:r w:rsidRPr="00FE3D7D">
        <w:rPr>
          <w:rStyle w:val="Strong"/>
          <w:rFonts w:ascii="Calibri" w:hAnsi="Calibri" w:cs="Calibri"/>
        </w:rPr>
        <w:t>1.</w:t>
      </w:r>
      <w:r w:rsidRPr="00FE3D7D">
        <w:rPr>
          <w:rStyle w:val="Strong"/>
          <w:rFonts w:ascii="Calibri" w:hAnsi="Calibri" w:cs="Calibri"/>
        </w:rPr>
        <w:tab/>
      </w:r>
      <w:r w:rsidRPr="00FE3D7D">
        <w:rPr>
          <w:rStyle w:val="Strong"/>
          <w:rFonts w:ascii="Calibri" w:hAnsi="Calibri" w:cs="Calibri"/>
          <w:sz w:val="24"/>
          <w:szCs w:val="24"/>
        </w:rPr>
        <w:t>Reference</w:t>
      </w:r>
    </w:p>
    <w:p w14:paraId="192430E9" w14:textId="623EB7F8" w:rsidR="007C0B2B" w:rsidRPr="00FE3D7D" w:rsidRDefault="00F50E54" w:rsidP="007C0B2B">
      <w:pPr>
        <w:outlineLvl w:val="0"/>
        <w:rPr>
          <w:rStyle w:val="Emphasis"/>
          <w:rFonts w:ascii="Calibri" w:hAnsi="Calibri" w:cs="Calibri"/>
          <w:sz w:val="24"/>
          <w:szCs w:val="24"/>
        </w:rPr>
      </w:pPr>
      <w:r>
        <w:rPr>
          <w:rStyle w:val="Emphasis"/>
          <w:rFonts w:ascii="Calibri" w:hAnsi="Calibri" w:cs="Calibri"/>
          <w:sz w:val="24"/>
          <w:szCs w:val="24"/>
        </w:rPr>
        <w:t xml:space="preserve">      03-162</w:t>
      </w:r>
      <w:r w:rsidR="007C0B2B" w:rsidRPr="00FE3D7D">
        <w:rPr>
          <w:rStyle w:val="Emphasis"/>
          <w:rFonts w:ascii="Calibri" w:hAnsi="Calibri" w:cs="Calibri"/>
          <w:sz w:val="24"/>
          <w:szCs w:val="24"/>
        </w:rPr>
        <w:t>/01 IPA/2020/ 420-727/02</w:t>
      </w:r>
    </w:p>
    <w:p w14:paraId="6C44138A" w14:textId="77777777" w:rsidR="007C0B2B" w:rsidRPr="00FE3D7D" w:rsidRDefault="007C0B2B" w:rsidP="007C0B2B">
      <w:pPr>
        <w:outlineLvl w:val="0"/>
        <w:rPr>
          <w:rStyle w:val="Emphasis"/>
          <w:rFonts w:ascii="Calibri" w:hAnsi="Calibri" w:cs="Calibri"/>
          <w:i w:val="0"/>
          <w:sz w:val="24"/>
          <w:szCs w:val="24"/>
        </w:rPr>
      </w:pPr>
    </w:p>
    <w:p w14:paraId="1C751551" w14:textId="77777777" w:rsidR="007C0B2B" w:rsidRPr="00FE3D7D" w:rsidRDefault="007C0B2B" w:rsidP="007C0B2B">
      <w:pPr>
        <w:ind w:left="709" w:hanging="349"/>
        <w:outlineLvl w:val="0"/>
        <w:rPr>
          <w:rStyle w:val="Strong"/>
          <w:rFonts w:ascii="Calibri" w:hAnsi="Calibri" w:cs="Calibri"/>
          <w:sz w:val="24"/>
          <w:szCs w:val="24"/>
        </w:rPr>
      </w:pPr>
      <w:r w:rsidRPr="00FE3D7D">
        <w:rPr>
          <w:rStyle w:val="Strong"/>
          <w:rFonts w:ascii="Calibri" w:hAnsi="Calibri" w:cs="Calibri"/>
          <w:sz w:val="24"/>
          <w:szCs w:val="24"/>
        </w:rPr>
        <w:t>2.</w:t>
      </w:r>
      <w:r w:rsidRPr="00FE3D7D">
        <w:rPr>
          <w:rStyle w:val="Strong"/>
          <w:rFonts w:ascii="Calibri" w:hAnsi="Calibri" w:cs="Calibri"/>
          <w:sz w:val="24"/>
          <w:szCs w:val="24"/>
        </w:rPr>
        <w:tab/>
        <w:t>Procedure</w:t>
      </w:r>
    </w:p>
    <w:p w14:paraId="52BF8084" w14:textId="77777777" w:rsidR="007C0B2B" w:rsidRPr="00FE3D7D" w:rsidRDefault="007C0B2B" w:rsidP="007C0B2B">
      <w:pPr>
        <w:ind w:left="709" w:hanging="349"/>
        <w:outlineLvl w:val="0"/>
        <w:rPr>
          <w:rFonts w:ascii="Calibri" w:hAnsi="Calibri" w:cs="Calibri"/>
          <w:sz w:val="24"/>
          <w:szCs w:val="24"/>
        </w:rPr>
      </w:pPr>
      <w:r w:rsidRPr="00FE3D7D">
        <w:rPr>
          <w:rFonts w:ascii="Calibri" w:hAnsi="Calibri" w:cs="Calibri"/>
          <w:sz w:val="24"/>
          <w:szCs w:val="24"/>
        </w:rPr>
        <w:t xml:space="preserve"> Simplified </w:t>
      </w:r>
    </w:p>
    <w:p w14:paraId="0AAE97A9" w14:textId="77777777" w:rsidR="007C0B2B" w:rsidRPr="00FE3D7D" w:rsidRDefault="007C0B2B" w:rsidP="007C0B2B">
      <w:pPr>
        <w:ind w:left="709" w:hanging="349"/>
        <w:outlineLvl w:val="0"/>
        <w:rPr>
          <w:rFonts w:ascii="Calibri" w:hAnsi="Calibri" w:cs="Calibri"/>
          <w:sz w:val="24"/>
          <w:szCs w:val="24"/>
        </w:rPr>
      </w:pPr>
    </w:p>
    <w:p w14:paraId="17B23BB8" w14:textId="77777777" w:rsidR="007C0B2B" w:rsidRPr="00FE3D7D" w:rsidRDefault="007C0B2B" w:rsidP="007C0B2B">
      <w:pPr>
        <w:ind w:left="709" w:hanging="349"/>
        <w:outlineLvl w:val="0"/>
        <w:rPr>
          <w:rFonts w:ascii="Calibri" w:hAnsi="Calibri" w:cs="Calibri"/>
          <w:b/>
          <w:sz w:val="24"/>
          <w:szCs w:val="24"/>
        </w:rPr>
      </w:pPr>
      <w:r w:rsidRPr="00FE3D7D">
        <w:rPr>
          <w:rStyle w:val="Strong"/>
          <w:rFonts w:ascii="Calibri" w:hAnsi="Calibri" w:cs="Calibri"/>
          <w:sz w:val="24"/>
          <w:szCs w:val="24"/>
        </w:rPr>
        <w:t xml:space="preserve">3. </w:t>
      </w:r>
      <w:r w:rsidRPr="00FE3D7D">
        <w:rPr>
          <w:rStyle w:val="Strong"/>
          <w:rFonts w:ascii="Calibri" w:hAnsi="Calibri" w:cs="Calibri"/>
          <w:sz w:val="24"/>
          <w:szCs w:val="24"/>
        </w:rPr>
        <w:tab/>
        <w:t>Programme title</w:t>
      </w:r>
    </w:p>
    <w:p w14:paraId="2BA9CDAC" w14:textId="77777777" w:rsidR="007C0B2B" w:rsidRPr="004749D0" w:rsidRDefault="007C0B2B" w:rsidP="007C0B2B">
      <w:pPr>
        <w:pStyle w:val="PRAGHeading2"/>
        <w:numPr>
          <w:ilvl w:val="0"/>
          <w:numId w:val="0"/>
        </w:numPr>
        <w:ind w:left="360" w:right="357"/>
        <w:rPr>
          <w:rFonts w:ascii="Calibri" w:hAnsi="Calibri" w:cs="Calibri"/>
          <w:i/>
          <w:szCs w:val="24"/>
          <w:lang w:val="mk-MK"/>
        </w:rPr>
      </w:pPr>
      <w:r w:rsidRPr="004749D0">
        <w:rPr>
          <w:rStyle w:val="Emphasis"/>
          <w:rFonts w:ascii="Calibri" w:hAnsi="Calibri" w:cs="Calibri"/>
          <w:i w:val="0"/>
          <w:szCs w:val="24"/>
          <w:lang w:val="en-GB"/>
        </w:rPr>
        <w:t>IPA Civil Society Facility &amp; Media Programme 2018-2019,</w:t>
      </w:r>
      <w:r w:rsidRPr="004749D0">
        <w:rPr>
          <w:rFonts w:ascii="Calibri" w:hAnsi="Calibri" w:cs="Calibri"/>
          <w:i/>
          <w:szCs w:val="24"/>
        </w:rPr>
        <w:t xml:space="preserve"> </w:t>
      </w:r>
      <w:r w:rsidRPr="004749D0">
        <w:rPr>
          <w:rStyle w:val="Emphasis"/>
          <w:rFonts w:ascii="Calibri" w:hAnsi="Calibri" w:cs="Calibri"/>
          <w:i w:val="0"/>
          <w:szCs w:val="24"/>
          <w:lang w:val="en-GB"/>
        </w:rPr>
        <w:t xml:space="preserve">Support to Civil Society Networks/Platforms in the Republic of North Macedonia - FISCAST Network - Enhancing dialogue for higher municipal financial transparency, with focus on </w:t>
      </w:r>
      <w:proofErr w:type="spellStart"/>
      <w:r w:rsidRPr="004749D0">
        <w:rPr>
          <w:rStyle w:val="Emphasis"/>
          <w:rFonts w:ascii="Calibri" w:hAnsi="Calibri" w:cs="Calibri"/>
          <w:i w:val="0"/>
          <w:szCs w:val="24"/>
          <w:lang w:val="en-GB"/>
        </w:rPr>
        <w:t>parafiscal</w:t>
      </w:r>
      <w:proofErr w:type="spellEnd"/>
      <w:r w:rsidRPr="004749D0">
        <w:rPr>
          <w:rStyle w:val="Emphasis"/>
          <w:rFonts w:ascii="Calibri" w:hAnsi="Calibri" w:cs="Calibri"/>
          <w:i w:val="0"/>
          <w:szCs w:val="24"/>
          <w:lang w:val="en-GB"/>
        </w:rPr>
        <w:t xml:space="preserve"> charges</w:t>
      </w:r>
    </w:p>
    <w:p w14:paraId="2C44126E" w14:textId="77777777" w:rsidR="007C0B2B" w:rsidRPr="00FE3D7D" w:rsidRDefault="007C0B2B" w:rsidP="007C0B2B">
      <w:pPr>
        <w:pStyle w:val="Header"/>
        <w:jc w:val="center"/>
        <w:rPr>
          <w:rFonts w:ascii="Calibri" w:hAnsi="Calibri" w:cs="Calibri"/>
          <w:b/>
          <w:sz w:val="24"/>
          <w:szCs w:val="24"/>
        </w:rPr>
      </w:pPr>
    </w:p>
    <w:p w14:paraId="4A83E2B9" w14:textId="77777777" w:rsidR="007C0B2B" w:rsidRPr="00FE3D7D" w:rsidRDefault="007C0B2B" w:rsidP="007C0B2B">
      <w:pPr>
        <w:ind w:left="709" w:hanging="349"/>
        <w:outlineLvl w:val="0"/>
        <w:rPr>
          <w:rFonts w:ascii="Calibri" w:hAnsi="Calibri" w:cs="Calibri"/>
          <w:sz w:val="24"/>
          <w:szCs w:val="24"/>
        </w:rPr>
      </w:pPr>
      <w:r w:rsidRPr="00FE3D7D">
        <w:rPr>
          <w:rStyle w:val="Strong"/>
          <w:rFonts w:ascii="Calibri" w:hAnsi="Calibri" w:cs="Calibri"/>
          <w:sz w:val="24"/>
          <w:szCs w:val="24"/>
        </w:rPr>
        <w:t xml:space="preserve">4. </w:t>
      </w:r>
      <w:r w:rsidRPr="00FE3D7D">
        <w:rPr>
          <w:rStyle w:val="Strong"/>
          <w:rFonts w:ascii="Calibri" w:hAnsi="Calibri" w:cs="Calibri"/>
          <w:sz w:val="24"/>
          <w:szCs w:val="24"/>
        </w:rPr>
        <w:tab/>
        <w:t>Financing</w:t>
      </w:r>
    </w:p>
    <w:p w14:paraId="409DA81A" w14:textId="77777777" w:rsidR="007C0B2B" w:rsidRPr="004749D0" w:rsidRDefault="007C0B2B" w:rsidP="007C0B2B">
      <w:pPr>
        <w:pStyle w:val="Blockquote"/>
        <w:rPr>
          <w:rStyle w:val="Emphasis"/>
          <w:rFonts w:ascii="Calibri" w:hAnsi="Calibri" w:cs="Calibri"/>
          <w:i w:val="0"/>
          <w:szCs w:val="24"/>
          <w:lang w:val="en-GB"/>
        </w:rPr>
      </w:pPr>
      <w:r w:rsidRPr="004749D0">
        <w:rPr>
          <w:rStyle w:val="Emphasis"/>
          <w:rFonts w:ascii="Calibri" w:hAnsi="Calibri" w:cs="Calibri"/>
          <w:i w:val="0"/>
          <w:szCs w:val="24"/>
          <w:lang w:val="en-GB"/>
        </w:rPr>
        <w:t>The project is co-financed by the European Union, in accordance with the rules of IPA Civil Society Facility &amp; Media Programme 2018-2019.</w:t>
      </w:r>
    </w:p>
    <w:p w14:paraId="7B46BF90" w14:textId="77777777" w:rsidR="007C0B2B" w:rsidRPr="004749D0" w:rsidRDefault="007C0B2B" w:rsidP="007C0B2B">
      <w:pPr>
        <w:pStyle w:val="Blockquote"/>
        <w:jc w:val="both"/>
        <w:rPr>
          <w:rStyle w:val="Emphasis"/>
          <w:rFonts w:ascii="Calibri" w:hAnsi="Calibri" w:cs="Calibri"/>
          <w:i w:val="0"/>
          <w:szCs w:val="24"/>
          <w:lang w:val="en-GB"/>
        </w:rPr>
      </w:pPr>
      <w:r w:rsidRPr="004749D0">
        <w:rPr>
          <w:rStyle w:val="Emphasis"/>
          <w:rFonts w:ascii="Calibri" w:hAnsi="Calibri" w:cs="Calibri"/>
          <w:i w:val="0"/>
          <w:szCs w:val="24"/>
          <w:lang w:val="en-GB"/>
        </w:rPr>
        <w:t xml:space="preserve">The project is co-financed by Finance Think - Economic Research and Policy Institute Skopje; Agora - </w:t>
      </w:r>
      <w:proofErr w:type="spellStart"/>
      <w:r w:rsidRPr="004749D0">
        <w:rPr>
          <w:rStyle w:val="Emphasis"/>
          <w:rFonts w:ascii="Calibri" w:hAnsi="Calibri" w:cs="Calibri"/>
          <w:i w:val="0"/>
          <w:szCs w:val="24"/>
          <w:lang w:val="en-GB"/>
        </w:rPr>
        <w:t>Center</w:t>
      </w:r>
      <w:proofErr w:type="spellEnd"/>
      <w:r w:rsidRPr="004749D0">
        <w:rPr>
          <w:rStyle w:val="Emphasis"/>
          <w:rFonts w:ascii="Calibri" w:hAnsi="Calibri" w:cs="Calibri"/>
          <w:i w:val="0"/>
          <w:szCs w:val="24"/>
          <w:lang w:val="en-GB"/>
        </w:rPr>
        <w:t xml:space="preserve"> for promotion of civic values Skopje; Association for rural development LAG Agro Leader and Association for economic and political research and analysis </w:t>
      </w:r>
      <w:proofErr w:type="spellStart"/>
      <w:r w:rsidRPr="004749D0">
        <w:rPr>
          <w:rStyle w:val="Emphasis"/>
          <w:rFonts w:ascii="Calibri" w:hAnsi="Calibri" w:cs="Calibri"/>
          <w:i w:val="0"/>
          <w:szCs w:val="24"/>
          <w:lang w:val="en-GB"/>
        </w:rPr>
        <w:t>Kvantum</w:t>
      </w:r>
      <w:proofErr w:type="spellEnd"/>
      <w:r w:rsidRPr="004749D0">
        <w:rPr>
          <w:rStyle w:val="Emphasis"/>
          <w:rFonts w:ascii="Calibri" w:hAnsi="Calibri" w:cs="Calibri"/>
          <w:i w:val="0"/>
          <w:szCs w:val="24"/>
          <w:lang w:val="en-GB"/>
        </w:rPr>
        <w:t xml:space="preserve"> Prima </w:t>
      </w:r>
      <w:proofErr w:type="spellStart"/>
      <w:r w:rsidRPr="004749D0">
        <w:rPr>
          <w:rStyle w:val="Emphasis"/>
          <w:rFonts w:ascii="Calibri" w:hAnsi="Calibri" w:cs="Calibri"/>
          <w:i w:val="0"/>
          <w:szCs w:val="24"/>
          <w:lang w:val="en-GB"/>
        </w:rPr>
        <w:t>Kavadarci</w:t>
      </w:r>
      <w:proofErr w:type="spellEnd"/>
      <w:r w:rsidRPr="004749D0">
        <w:rPr>
          <w:rStyle w:val="Emphasis"/>
          <w:rFonts w:ascii="Calibri" w:hAnsi="Calibri" w:cs="Calibri"/>
          <w:i w:val="0"/>
          <w:szCs w:val="24"/>
          <w:lang w:val="en-GB"/>
        </w:rPr>
        <w:t xml:space="preserve">. </w:t>
      </w:r>
    </w:p>
    <w:p w14:paraId="642FFA83" w14:textId="2762000F" w:rsidR="007C0B2B" w:rsidRPr="00E23735" w:rsidRDefault="00C85AE2" w:rsidP="007C0B2B">
      <w:pPr>
        <w:pStyle w:val="Blockquote"/>
        <w:jc w:val="both"/>
        <w:rPr>
          <w:rStyle w:val="Emphasis"/>
          <w:rFonts w:ascii="Calibri" w:hAnsi="Calibri" w:cs="Calibri"/>
          <w:i w:val="0"/>
          <w:szCs w:val="24"/>
          <w:lang w:val="en-GB"/>
        </w:rPr>
      </w:pPr>
      <w:r>
        <w:rPr>
          <w:rStyle w:val="Emphasis"/>
          <w:rFonts w:ascii="Calibri" w:hAnsi="Calibri" w:cs="Calibri"/>
          <w:i w:val="0"/>
          <w:szCs w:val="24"/>
          <w:lang w:val="en-GB"/>
        </w:rPr>
        <w:t>Budget line</w:t>
      </w:r>
      <w:r w:rsidR="007C0B2B" w:rsidRPr="00E23735">
        <w:rPr>
          <w:rStyle w:val="Emphasis"/>
          <w:rFonts w:ascii="Calibri" w:hAnsi="Calibri" w:cs="Calibri"/>
          <w:i w:val="0"/>
          <w:szCs w:val="24"/>
          <w:lang w:val="mk-MK"/>
        </w:rPr>
        <w:t>:</w:t>
      </w:r>
      <w:r w:rsidR="007C0B2B" w:rsidRPr="00E23735">
        <w:rPr>
          <w:rStyle w:val="Emphasis"/>
          <w:rFonts w:ascii="Calibri" w:hAnsi="Calibri" w:cs="Calibri"/>
          <w:i w:val="0"/>
          <w:szCs w:val="24"/>
          <w:lang w:val="en-GB"/>
        </w:rPr>
        <w:t xml:space="preserve"> </w:t>
      </w:r>
    </w:p>
    <w:p w14:paraId="4D6E3CE0" w14:textId="7CC17316" w:rsidR="007C0B2B" w:rsidRPr="00E23735" w:rsidRDefault="004749D0" w:rsidP="007C0B2B">
      <w:pPr>
        <w:pStyle w:val="Blockquote"/>
        <w:jc w:val="both"/>
        <w:rPr>
          <w:rStyle w:val="Emphasis"/>
          <w:rFonts w:ascii="Calibri" w:hAnsi="Calibri" w:cs="Calibri"/>
          <w:i w:val="0"/>
          <w:szCs w:val="24"/>
          <w:lang w:val="en-GB"/>
        </w:rPr>
      </w:pPr>
      <w:r w:rsidRPr="00E23735">
        <w:rPr>
          <w:rStyle w:val="Emphasis"/>
          <w:rFonts w:ascii="Calibri" w:hAnsi="Calibri" w:cs="Calibri"/>
          <w:i w:val="0"/>
          <w:szCs w:val="24"/>
          <w:lang w:val="en-GB"/>
        </w:rPr>
        <w:t>5.2.4. Expert on taxes to verify collected data</w:t>
      </w:r>
    </w:p>
    <w:p w14:paraId="24690EDA" w14:textId="77777777" w:rsidR="004749D0" w:rsidRPr="007C0B2B" w:rsidRDefault="004749D0" w:rsidP="007C0B2B">
      <w:pPr>
        <w:pStyle w:val="Blockquote"/>
        <w:jc w:val="both"/>
        <w:rPr>
          <w:rFonts w:ascii="Calibri" w:hAnsi="Calibri" w:cs="Calibri"/>
          <w:i/>
          <w:sz w:val="22"/>
          <w:szCs w:val="22"/>
          <w:lang w:val="en-GB"/>
        </w:rPr>
      </w:pPr>
    </w:p>
    <w:p w14:paraId="192230D9" w14:textId="77777777" w:rsidR="007C0B2B" w:rsidRPr="00004F73" w:rsidRDefault="007C0B2B" w:rsidP="007C0B2B">
      <w:pPr>
        <w:ind w:left="709" w:hanging="349"/>
        <w:outlineLvl w:val="0"/>
        <w:rPr>
          <w:rFonts w:ascii="Calibri" w:hAnsi="Calibri" w:cs="Calibri"/>
          <w:sz w:val="24"/>
          <w:szCs w:val="24"/>
        </w:rPr>
      </w:pPr>
      <w:r w:rsidRPr="00004F73">
        <w:rPr>
          <w:rStyle w:val="Strong"/>
          <w:rFonts w:ascii="Calibri" w:hAnsi="Calibri" w:cs="Calibri"/>
          <w:sz w:val="24"/>
          <w:szCs w:val="24"/>
        </w:rPr>
        <w:t xml:space="preserve">5. </w:t>
      </w:r>
      <w:r w:rsidRPr="00004F73">
        <w:rPr>
          <w:rStyle w:val="Strong"/>
          <w:rFonts w:ascii="Calibri" w:hAnsi="Calibri" w:cs="Calibri"/>
          <w:sz w:val="24"/>
          <w:szCs w:val="24"/>
        </w:rPr>
        <w:tab/>
        <w:t>Contracting authority</w:t>
      </w:r>
    </w:p>
    <w:p w14:paraId="4FB8B5A5" w14:textId="77777777" w:rsidR="007C0B2B" w:rsidRPr="00004F73" w:rsidRDefault="007C0B2B" w:rsidP="007C0B2B">
      <w:pPr>
        <w:spacing w:before="120" w:after="120"/>
        <w:ind w:left="360"/>
        <w:rPr>
          <w:rFonts w:ascii="Calibri" w:hAnsi="Calibri" w:cs="Calibri"/>
          <w:sz w:val="24"/>
          <w:szCs w:val="24"/>
        </w:rPr>
      </w:pPr>
      <w:r w:rsidRPr="00004F73">
        <w:rPr>
          <w:rFonts w:ascii="Calibri" w:hAnsi="Calibri" w:cs="Calibri"/>
          <w:sz w:val="24"/>
          <w:szCs w:val="24"/>
        </w:rPr>
        <w:t xml:space="preserve">Finance Think - Economic Research and Policy Institute, Skopje </w:t>
      </w:r>
    </w:p>
    <w:p w14:paraId="7C1D5959" w14:textId="77777777" w:rsidR="007C0B2B" w:rsidRPr="00004F73" w:rsidRDefault="007C0B2B" w:rsidP="007C0B2B">
      <w:pPr>
        <w:spacing w:before="120" w:after="120"/>
        <w:ind w:left="360"/>
        <w:rPr>
          <w:rFonts w:ascii="Calibri" w:hAnsi="Calibri" w:cs="Calibri"/>
          <w:sz w:val="24"/>
          <w:szCs w:val="24"/>
        </w:rPr>
      </w:pPr>
      <w:proofErr w:type="gramStart"/>
      <w:r w:rsidRPr="00004F73">
        <w:rPr>
          <w:rFonts w:ascii="Calibri" w:hAnsi="Calibri" w:cs="Calibri"/>
          <w:sz w:val="24"/>
          <w:szCs w:val="24"/>
          <w:lang w:val="en-US"/>
        </w:rPr>
        <w:t>str</w:t>
      </w:r>
      <w:proofErr w:type="gramEnd"/>
      <w:r w:rsidRPr="00004F73">
        <w:rPr>
          <w:rFonts w:ascii="Calibri" w:hAnsi="Calibri" w:cs="Calibri"/>
          <w:sz w:val="24"/>
          <w:szCs w:val="24"/>
          <w:lang w:val="en-US"/>
        </w:rPr>
        <w:t xml:space="preserve">. </w:t>
      </w:r>
      <w:r w:rsidRPr="00004F73">
        <w:rPr>
          <w:rFonts w:ascii="Calibri" w:hAnsi="Calibri" w:cs="Calibri"/>
          <w:sz w:val="24"/>
          <w:szCs w:val="24"/>
        </w:rPr>
        <w:t xml:space="preserve">Frederik </w:t>
      </w:r>
      <w:proofErr w:type="spellStart"/>
      <w:r w:rsidRPr="00004F73">
        <w:rPr>
          <w:rFonts w:ascii="Calibri" w:hAnsi="Calibri" w:cs="Calibri"/>
          <w:sz w:val="24"/>
          <w:szCs w:val="24"/>
        </w:rPr>
        <w:t>Shopen</w:t>
      </w:r>
      <w:proofErr w:type="spellEnd"/>
      <w:r w:rsidRPr="00004F73">
        <w:rPr>
          <w:rFonts w:ascii="Calibri" w:hAnsi="Calibri" w:cs="Calibri"/>
          <w:sz w:val="24"/>
          <w:szCs w:val="24"/>
        </w:rPr>
        <w:t xml:space="preserve"> 1/2</w:t>
      </w:r>
      <w:r w:rsidRPr="00004F73">
        <w:rPr>
          <w:rFonts w:ascii="Calibri" w:hAnsi="Calibri" w:cs="Calibri"/>
          <w:sz w:val="24"/>
          <w:szCs w:val="24"/>
          <w:lang w:val="en-US"/>
        </w:rPr>
        <w:t xml:space="preserve">, </w:t>
      </w:r>
      <w:r w:rsidRPr="00004F73">
        <w:rPr>
          <w:rFonts w:ascii="Calibri" w:hAnsi="Calibri" w:cs="Calibri"/>
          <w:sz w:val="24"/>
          <w:szCs w:val="24"/>
        </w:rPr>
        <w:t xml:space="preserve">1000 Skopje, North Macedonia </w:t>
      </w:r>
    </w:p>
    <w:p w14:paraId="76C305B9" w14:textId="77777777" w:rsidR="004749D0" w:rsidRPr="00004F73" w:rsidRDefault="004749D0" w:rsidP="007C0B2B">
      <w:pPr>
        <w:spacing w:before="120" w:after="120"/>
        <w:ind w:left="360"/>
        <w:rPr>
          <w:rFonts w:ascii="Calibri" w:hAnsi="Calibri" w:cs="Calibri"/>
          <w:sz w:val="24"/>
          <w:szCs w:val="24"/>
        </w:rPr>
      </w:pPr>
    </w:p>
    <w:p w14:paraId="32BF762E" w14:textId="77777777" w:rsidR="004749D0" w:rsidRPr="00D66248" w:rsidRDefault="004749D0" w:rsidP="007C0B2B">
      <w:pPr>
        <w:ind w:left="360"/>
      </w:pPr>
    </w:p>
    <w:p w14:paraId="6073014F" w14:textId="77777777" w:rsidR="007C0B2B" w:rsidRDefault="007C0B2B" w:rsidP="007C0B2B">
      <w:pPr>
        <w:jc w:val="center"/>
        <w:rPr>
          <w:rStyle w:val="Strong"/>
          <w:sz w:val="28"/>
          <w:szCs w:val="28"/>
        </w:rPr>
      </w:pPr>
      <w:r w:rsidRPr="00B33EE6">
        <w:rPr>
          <w:rStyle w:val="Strong"/>
          <w:sz w:val="28"/>
          <w:szCs w:val="28"/>
        </w:rPr>
        <w:t>CONTRACT SPECIFICATION</w:t>
      </w:r>
    </w:p>
    <w:p w14:paraId="762592CE" w14:textId="77777777" w:rsidR="004749D0" w:rsidRPr="00B33EE6" w:rsidRDefault="004749D0" w:rsidP="007C0B2B">
      <w:pPr>
        <w:jc w:val="center"/>
        <w:rPr>
          <w:sz w:val="28"/>
          <w:szCs w:val="28"/>
        </w:rPr>
      </w:pPr>
    </w:p>
    <w:p w14:paraId="37061FBF" w14:textId="77777777" w:rsidR="007C0B2B" w:rsidRPr="00004F73" w:rsidRDefault="007C0B2B" w:rsidP="007C0B2B">
      <w:pPr>
        <w:ind w:left="709" w:hanging="349"/>
        <w:outlineLvl w:val="0"/>
        <w:rPr>
          <w:rFonts w:ascii="Calibri" w:hAnsi="Calibri" w:cs="Calibri"/>
          <w:sz w:val="24"/>
          <w:szCs w:val="24"/>
        </w:rPr>
      </w:pPr>
      <w:r w:rsidRPr="00004F73">
        <w:rPr>
          <w:rStyle w:val="Strong"/>
          <w:rFonts w:ascii="Calibri" w:hAnsi="Calibri" w:cs="Calibri"/>
          <w:sz w:val="24"/>
          <w:szCs w:val="24"/>
        </w:rPr>
        <w:t xml:space="preserve">6. </w:t>
      </w:r>
      <w:r w:rsidRPr="00004F73">
        <w:rPr>
          <w:rStyle w:val="Strong"/>
          <w:rFonts w:ascii="Calibri" w:hAnsi="Calibri" w:cs="Calibri"/>
          <w:sz w:val="24"/>
          <w:szCs w:val="24"/>
        </w:rPr>
        <w:tab/>
        <w:t>Nature of contract</w:t>
      </w:r>
    </w:p>
    <w:p w14:paraId="7A6093A7" w14:textId="3C4565C6" w:rsidR="007C0B2B" w:rsidRPr="00004F73" w:rsidRDefault="002260AE" w:rsidP="007C0B2B">
      <w:pPr>
        <w:pStyle w:val="Blockquote"/>
        <w:jc w:val="both"/>
        <w:rPr>
          <w:rStyle w:val="Emphasis"/>
          <w:rFonts w:ascii="Calibri" w:hAnsi="Calibri" w:cs="Calibri"/>
          <w:i w:val="0"/>
          <w:szCs w:val="24"/>
          <w:lang w:val="en-GB"/>
        </w:rPr>
      </w:pPr>
      <w:r>
        <w:rPr>
          <w:rStyle w:val="Emphasis"/>
          <w:rFonts w:ascii="Calibri" w:hAnsi="Calibri" w:cs="Calibri"/>
          <w:i w:val="0"/>
          <w:szCs w:val="24"/>
          <w:lang w:val="en-GB"/>
        </w:rPr>
        <w:t>Global price</w:t>
      </w:r>
    </w:p>
    <w:p w14:paraId="1A7DEFB6" w14:textId="77777777" w:rsidR="004749D0" w:rsidRPr="007C0B2B" w:rsidRDefault="004749D0" w:rsidP="007C0B2B">
      <w:pPr>
        <w:pStyle w:val="Blockquote"/>
        <w:jc w:val="both"/>
        <w:rPr>
          <w:rFonts w:ascii="Calibri" w:hAnsi="Calibri" w:cs="Calibri"/>
          <w:i/>
          <w:sz w:val="22"/>
          <w:szCs w:val="22"/>
          <w:lang w:val="en-GB"/>
        </w:rPr>
      </w:pPr>
    </w:p>
    <w:p w14:paraId="660D7091" w14:textId="77777777" w:rsidR="007C0B2B" w:rsidRPr="00004F73" w:rsidRDefault="007C0B2B" w:rsidP="007C0B2B">
      <w:pPr>
        <w:ind w:left="709" w:hanging="352"/>
        <w:outlineLvl w:val="0"/>
        <w:rPr>
          <w:rFonts w:ascii="Calibri" w:hAnsi="Calibri" w:cs="Calibri"/>
          <w:sz w:val="24"/>
          <w:szCs w:val="24"/>
        </w:rPr>
      </w:pPr>
      <w:r w:rsidRPr="00004F73">
        <w:rPr>
          <w:rStyle w:val="Strong"/>
          <w:rFonts w:ascii="Calibri" w:hAnsi="Calibri" w:cs="Calibri"/>
          <w:sz w:val="24"/>
          <w:szCs w:val="24"/>
        </w:rPr>
        <w:t xml:space="preserve">7. </w:t>
      </w:r>
      <w:r w:rsidRPr="00004F73">
        <w:rPr>
          <w:rStyle w:val="Strong"/>
          <w:rFonts w:ascii="Calibri" w:hAnsi="Calibri" w:cs="Calibri"/>
          <w:sz w:val="24"/>
          <w:szCs w:val="24"/>
        </w:rPr>
        <w:tab/>
        <w:t>Contract description</w:t>
      </w:r>
    </w:p>
    <w:p w14:paraId="421ED2AB" w14:textId="77777777" w:rsidR="00082167" w:rsidRPr="00C93030" w:rsidRDefault="002766FC" w:rsidP="00082167">
      <w:pPr>
        <w:pStyle w:val="Blockquote"/>
        <w:jc w:val="both"/>
        <w:rPr>
          <w:rStyle w:val="Emphasis"/>
          <w:rFonts w:ascii="Calibri" w:hAnsi="Calibri" w:cs="Calibri"/>
          <w:i w:val="0"/>
          <w:szCs w:val="24"/>
          <w:lang w:val="en-GB"/>
        </w:rPr>
      </w:pPr>
      <w:r w:rsidRPr="00C93030">
        <w:rPr>
          <w:rStyle w:val="Emphasis"/>
          <w:rFonts w:ascii="Calibri" w:hAnsi="Calibri" w:cs="Calibri"/>
          <w:i w:val="0"/>
          <w:szCs w:val="24"/>
          <w:lang w:val="en-GB"/>
        </w:rPr>
        <w:lastRenderedPageBreak/>
        <w:t xml:space="preserve">The main objective of the contract is engaging a tax expert that will assist the process of </w:t>
      </w:r>
      <w:r w:rsidR="00082167" w:rsidRPr="00C93030">
        <w:rPr>
          <w:rStyle w:val="Emphasis"/>
          <w:rFonts w:ascii="Calibri" w:hAnsi="Calibri" w:cs="Calibri"/>
          <w:i w:val="0"/>
          <w:szCs w:val="24"/>
        </w:rPr>
        <w:t>selection</w:t>
      </w:r>
      <w:r w:rsidRPr="00C93030">
        <w:rPr>
          <w:rStyle w:val="Emphasis"/>
          <w:rFonts w:ascii="Calibri" w:hAnsi="Calibri" w:cs="Calibri"/>
          <w:i w:val="0"/>
          <w:szCs w:val="24"/>
          <w:lang w:val="en-GB"/>
        </w:rPr>
        <w:t xml:space="preserve"> o</w:t>
      </w:r>
      <w:r w:rsidR="00082167" w:rsidRPr="00C93030">
        <w:rPr>
          <w:rStyle w:val="Emphasis"/>
          <w:rFonts w:ascii="Calibri" w:hAnsi="Calibri" w:cs="Calibri"/>
          <w:i w:val="0"/>
          <w:szCs w:val="24"/>
          <w:lang w:val="en-GB"/>
        </w:rPr>
        <w:t>f</w:t>
      </w:r>
      <w:r w:rsidRPr="00C93030">
        <w:rPr>
          <w:rStyle w:val="Emphasis"/>
          <w:rFonts w:ascii="Calibri" w:hAnsi="Calibri" w:cs="Calibri"/>
          <w:i w:val="0"/>
          <w:szCs w:val="24"/>
          <w:lang w:val="en-GB"/>
        </w:rPr>
        <w:t xml:space="preserve"> para-fiscal charges, through </w:t>
      </w:r>
      <w:r w:rsidR="00082167" w:rsidRPr="00C93030">
        <w:rPr>
          <w:rStyle w:val="Emphasis"/>
          <w:rFonts w:ascii="Calibri" w:hAnsi="Calibri" w:cs="Calibri"/>
          <w:i w:val="0"/>
          <w:szCs w:val="24"/>
          <w:lang w:val="en-GB"/>
        </w:rPr>
        <w:t xml:space="preserve">identifying criteria, </w:t>
      </w:r>
      <w:r w:rsidRPr="00C93030">
        <w:rPr>
          <w:rStyle w:val="Emphasis"/>
          <w:rFonts w:ascii="Calibri" w:hAnsi="Calibri" w:cs="Calibri"/>
          <w:i w:val="0"/>
          <w:szCs w:val="24"/>
          <w:lang w:val="en-GB"/>
        </w:rPr>
        <w:t>preparing a questionnaire for mapping the para-fiscal charges at local level</w:t>
      </w:r>
      <w:r w:rsidR="00082167" w:rsidRPr="00C93030">
        <w:rPr>
          <w:rStyle w:val="Emphasis"/>
          <w:rFonts w:ascii="Calibri" w:hAnsi="Calibri" w:cs="Calibri"/>
          <w:i w:val="0"/>
          <w:szCs w:val="24"/>
          <w:lang w:val="en-GB"/>
        </w:rPr>
        <w:t xml:space="preserve"> and filtering collected data based on developed criteria</w:t>
      </w:r>
      <w:r w:rsidRPr="00C93030">
        <w:rPr>
          <w:rStyle w:val="Emphasis"/>
          <w:rFonts w:ascii="Calibri" w:hAnsi="Calibri" w:cs="Calibri"/>
          <w:i w:val="0"/>
          <w:szCs w:val="24"/>
          <w:lang w:val="en-GB"/>
        </w:rPr>
        <w:t xml:space="preserve">. </w:t>
      </w:r>
      <w:r w:rsidR="00DC5C45" w:rsidRPr="00C93030">
        <w:rPr>
          <w:rStyle w:val="Emphasis"/>
          <w:rFonts w:ascii="Calibri" w:hAnsi="Calibri" w:cs="Calibri"/>
          <w:i w:val="0"/>
          <w:szCs w:val="24"/>
          <w:lang w:val="en-GB"/>
        </w:rPr>
        <w:t>Main activities of the expert include:</w:t>
      </w:r>
    </w:p>
    <w:p w14:paraId="30046634" w14:textId="44DFAEA4" w:rsidR="00DC5C45" w:rsidRPr="00C93030" w:rsidRDefault="00082167" w:rsidP="00082167">
      <w:pPr>
        <w:pStyle w:val="Blockquote"/>
        <w:numPr>
          <w:ilvl w:val="0"/>
          <w:numId w:val="25"/>
        </w:numPr>
        <w:jc w:val="both"/>
        <w:rPr>
          <w:rStyle w:val="Emphasis"/>
          <w:rFonts w:ascii="Calibri" w:hAnsi="Calibri" w:cs="Calibri"/>
          <w:i w:val="0"/>
          <w:szCs w:val="24"/>
          <w:lang w:val="en-GB"/>
        </w:rPr>
      </w:pPr>
      <w:proofErr w:type="gramStart"/>
      <w:r w:rsidRPr="00C93030">
        <w:rPr>
          <w:rStyle w:val="Emphasis"/>
          <w:rFonts w:ascii="Calibri" w:hAnsi="Calibri" w:cs="Calibri"/>
          <w:i w:val="0"/>
          <w:szCs w:val="24"/>
          <w:lang w:val="en-GB"/>
        </w:rPr>
        <w:t>to</w:t>
      </w:r>
      <w:proofErr w:type="gramEnd"/>
      <w:r w:rsidRPr="00C93030">
        <w:rPr>
          <w:rStyle w:val="Emphasis"/>
          <w:rFonts w:ascii="Calibri" w:hAnsi="Calibri" w:cs="Calibri"/>
          <w:i w:val="0"/>
          <w:szCs w:val="24"/>
          <w:lang w:val="en-GB"/>
        </w:rPr>
        <w:t xml:space="preserve"> identify criteria for selection of </w:t>
      </w:r>
      <w:proofErr w:type="spellStart"/>
      <w:r w:rsidRPr="00C93030">
        <w:rPr>
          <w:rStyle w:val="Emphasis"/>
          <w:rFonts w:ascii="Calibri" w:hAnsi="Calibri" w:cs="Calibri"/>
          <w:i w:val="0"/>
          <w:szCs w:val="24"/>
          <w:lang w:val="en-GB"/>
        </w:rPr>
        <w:t>parafiscal</w:t>
      </w:r>
      <w:proofErr w:type="spellEnd"/>
      <w:r w:rsidRPr="00C93030">
        <w:rPr>
          <w:rStyle w:val="Emphasis"/>
          <w:rFonts w:ascii="Calibri" w:hAnsi="Calibri" w:cs="Calibri"/>
          <w:i w:val="0"/>
          <w:szCs w:val="24"/>
          <w:lang w:val="en-GB"/>
        </w:rPr>
        <w:t xml:space="preserve"> charges, based on the literature, experience from other country, Laws, etc.</w:t>
      </w:r>
    </w:p>
    <w:p w14:paraId="1A7A3E3F" w14:textId="61F39E9C" w:rsidR="00082167" w:rsidRPr="00C93030" w:rsidRDefault="00082167" w:rsidP="00082167">
      <w:pPr>
        <w:pStyle w:val="Blockquote"/>
        <w:numPr>
          <w:ilvl w:val="0"/>
          <w:numId w:val="15"/>
        </w:numPr>
        <w:jc w:val="both"/>
        <w:rPr>
          <w:rStyle w:val="Emphasis"/>
          <w:rFonts w:ascii="Calibri" w:hAnsi="Calibri" w:cs="Calibri"/>
          <w:i w:val="0"/>
          <w:szCs w:val="24"/>
          <w:lang w:val="en-GB"/>
        </w:rPr>
      </w:pPr>
      <w:r w:rsidRPr="00C93030">
        <w:rPr>
          <w:rStyle w:val="Emphasis"/>
          <w:rFonts w:ascii="Calibri" w:hAnsi="Calibri" w:cs="Calibri"/>
          <w:i w:val="0"/>
          <w:szCs w:val="24"/>
          <w:lang w:val="en-GB"/>
        </w:rPr>
        <w:t xml:space="preserve">- to design questionnaire with pre-defined question survey to identify the </w:t>
      </w:r>
      <w:proofErr w:type="spellStart"/>
      <w:r w:rsidRPr="00C93030">
        <w:rPr>
          <w:rStyle w:val="Emphasis"/>
          <w:rFonts w:ascii="Calibri" w:hAnsi="Calibri" w:cs="Calibri"/>
          <w:i w:val="0"/>
          <w:szCs w:val="24"/>
          <w:lang w:val="en-GB"/>
        </w:rPr>
        <w:t>parafiscal</w:t>
      </w:r>
      <w:proofErr w:type="spellEnd"/>
      <w:r w:rsidRPr="00C93030">
        <w:rPr>
          <w:rStyle w:val="Emphasis"/>
          <w:rFonts w:ascii="Calibri" w:hAnsi="Calibri" w:cs="Calibri"/>
          <w:i w:val="0"/>
          <w:szCs w:val="24"/>
          <w:lang w:val="en-GB"/>
        </w:rPr>
        <w:t xml:space="preserve"> charges with all attributes at local level</w:t>
      </w:r>
    </w:p>
    <w:p w14:paraId="5A18AFF2" w14:textId="6BD14F65" w:rsidR="00082167" w:rsidRPr="00C93030" w:rsidRDefault="00082167" w:rsidP="00082167">
      <w:pPr>
        <w:pStyle w:val="Blockquote"/>
        <w:numPr>
          <w:ilvl w:val="0"/>
          <w:numId w:val="15"/>
        </w:numPr>
        <w:jc w:val="both"/>
        <w:rPr>
          <w:rStyle w:val="Emphasis"/>
          <w:rFonts w:ascii="Calibri" w:hAnsi="Calibri" w:cs="Calibri"/>
          <w:i w:val="0"/>
          <w:szCs w:val="24"/>
          <w:lang w:val="en-GB"/>
        </w:rPr>
      </w:pPr>
      <w:r w:rsidRPr="00C93030">
        <w:rPr>
          <w:rStyle w:val="Emphasis"/>
          <w:rFonts w:ascii="Calibri" w:hAnsi="Calibri" w:cs="Calibri"/>
          <w:i w:val="0"/>
          <w:szCs w:val="24"/>
          <w:lang w:val="en-GB"/>
        </w:rPr>
        <w:t>- Filtering collected data</w:t>
      </w:r>
      <w:r w:rsidRPr="00C93030">
        <w:rPr>
          <w:rStyle w:val="FootnoteReference"/>
          <w:rFonts w:ascii="Calibri" w:hAnsi="Calibri" w:cs="Calibri"/>
          <w:szCs w:val="24"/>
          <w:lang w:val="en-GB"/>
        </w:rPr>
        <w:footnoteReference w:id="1"/>
      </w:r>
      <w:r w:rsidRPr="00C93030">
        <w:rPr>
          <w:rStyle w:val="Emphasis"/>
          <w:rFonts w:ascii="Calibri" w:hAnsi="Calibri" w:cs="Calibri"/>
          <w:i w:val="0"/>
          <w:szCs w:val="24"/>
          <w:lang w:val="en-GB"/>
        </w:rPr>
        <w:t xml:space="preserve"> and final selection of </w:t>
      </w:r>
      <w:proofErr w:type="spellStart"/>
      <w:r w:rsidRPr="00C93030">
        <w:rPr>
          <w:rStyle w:val="Emphasis"/>
          <w:rFonts w:ascii="Calibri" w:hAnsi="Calibri" w:cs="Calibri"/>
          <w:i w:val="0"/>
          <w:szCs w:val="24"/>
          <w:lang w:val="en-GB"/>
        </w:rPr>
        <w:t>parafiscal</w:t>
      </w:r>
      <w:proofErr w:type="spellEnd"/>
      <w:r w:rsidRPr="00C93030">
        <w:rPr>
          <w:rStyle w:val="Emphasis"/>
          <w:rFonts w:ascii="Calibri" w:hAnsi="Calibri" w:cs="Calibri"/>
          <w:i w:val="0"/>
          <w:szCs w:val="24"/>
          <w:lang w:val="en-GB"/>
        </w:rPr>
        <w:t xml:space="preserve"> charges based on defined criteria</w:t>
      </w:r>
    </w:p>
    <w:p w14:paraId="26D9263D" w14:textId="1CC9DBD6" w:rsidR="00DC5C45" w:rsidRPr="00C93030" w:rsidRDefault="00DC5C45" w:rsidP="00FA64CC">
      <w:pPr>
        <w:pStyle w:val="Blockquote"/>
        <w:jc w:val="both"/>
        <w:rPr>
          <w:rStyle w:val="Emphasis"/>
          <w:rFonts w:ascii="Calibri" w:hAnsi="Calibri" w:cs="Calibri"/>
          <w:i w:val="0"/>
          <w:szCs w:val="24"/>
          <w:lang w:val="en-GB"/>
        </w:rPr>
      </w:pPr>
      <w:r w:rsidRPr="00C93030">
        <w:rPr>
          <w:rStyle w:val="Emphasis"/>
          <w:rFonts w:ascii="Calibri" w:hAnsi="Calibri" w:cs="Calibri"/>
          <w:i w:val="0"/>
          <w:szCs w:val="24"/>
          <w:lang w:val="en-GB"/>
        </w:rPr>
        <w:t>The main expected outputs are:</w:t>
      </w:r>
    </w:p>
    <w:p w14:paraId="07036D06" w14:textId="26166DA2" w:rsidR="00DC5C45" w:rsidRPr="00C93030" w:rsidRDefault="00DC5C45" w:rsidP="00DC5C45">
      <w:pPr>
        <w:pStyle w:val="Blockquote"/>
        <w:numPr>
          <w:ilvl w:val="0"/>
          <w:numId w:val="15"/>
        </w:numPr>
        <w:jc w:val="both"/>
        <w:rPr>
          <w:rStyle w:val="Emphasis"/>
          <w:rFonts w:ascii="Calibri" w:hAnsi="Calibri" w:cs="Calibri"/>
          <w:i w:val="0"/>
          <w:szCs w:val="24"/>
          <w:lang w:val="en-GB"/>
        </w:rPr>
      </w:pPr>
      <w:r w:rsidRPr="00C93030">
        <w:rPr>
          <w:rStyle w:val="Emphasis"/>
          <w:rFonts w:ascii="Calibri" w:hAnsi="Calibri" w:cs="Calibri"/>
          <w:i w:val="0"/>
          <w:szCs w:val="24"/>
          <w:lang w:val="en-GB"/>
        </w:rPr>
        <w:t>-</w:t>
      </w:r>
      <w:r w:rsidR="00082167" w:rsidRPr="00C93030">
        <w:rPr>
          <w:rStyle w:val="Emphasis"/>
          <w:rFonts w:ascii="Calibri" w:hAnsi="Calibri" w:cs="Calibri"/>
          <w:i w:val="0"/>
          <w:szCs w:val="24"/>
          <w:lang w:val="en-GB"/>
        </w:rPr>
        <w:t xml:space="preserve"> Defined criteria for selection of </w:t>
      </w:r>
      <w:proofErr w:type="spellStart"/>
      <w:r w:rsidR="00082167" w:rsidRPr="00C93030">
        <w:rPr>
          <w:rStyle w:val="Emphasis"/>
          <w:rFonts w:ascii="Calibri" w:hAnsi="Calibri" w:cs="Calibri"/>
          <w:i w:val="0"/>
          <w:szCs w:val="24"/>
          <w:lang w:val="en-GB"/>
        </w:rPr>
        <w:t>parafiscal</w:t>
      </w:r>
      <w:proofErr w:type="spellEnd"/>
      <w:r w:rsidR="00082167" w:rsidRPr="00C93030">
        <w:rPr>
          <w:rStyle w:val="Emphasis"/>
          <w:rFonts w:ascii="Calibri" w:hAnsi="Calibri" w:cs="Calibri"/>
          <w:i w:val="0"/>
          <w:szCs w:val="24"/>
          <w:lang w:val="en-GB"/>
        </w:rPr>
        <w:t xml:space="preserve"> charges</w:t>
      </w:r>
    </w:p>
    <w:p w14:paraId="45789B7F" w14:textId="7050265F" w:rsidR="00082167" w:rsidRPr="00C93030" w:rsidRDefault="00082167" w:rsidP="00DC5C45">
      <w:pPr>
        <w:pStyle w:val="Blockquote"/>
        <w:numPr>
          <w:ilvl w:val="0"/>
          <w:numId w:val="15"/>
        </w:numPr>
        <w:jc w:val="both"/>
        <w:rPr>
          <w:rStyle w:val="Emphasis"/>
          <w:rFonts w:ascii="Calibri" w:hAnsi="Calibri" w:cs="Calibri"/>
          <w:i w:val="0"/>
          <w:szCs w:val="24"/>
          <w:lang w:val="en-GB"/>
        </w:rPr>
      </w:pPr>
      <w:r w:rsidRPr="00C93030">
        <w:rPr>
          <w:rStyle w:val="Emphasis"/>
          <w:rFonts w:ascii="Calibri" w:hAnsi="Calibri" w:cs="Calibri"/>
          <w:i w:val="0"/>
          <w:szCs w:val="24"/>
          <w:lang w:val="en-GB"/>
        </w:rPr>
        <w:t>- Designed questionnaire with pre-defined question survey</w:t>
      </w:r>
    </w:p>
    <w:p w14:paraId="4DDCF68F" w14:textId="06FE7B6A" w:rsidR="00082167" w:rsidRPr="00C93030" w:rsidRDefault="00082167" w:rsidP="00DC5C45">
      <w:pPr>
        <w:pStyle w:val="Blockquote"/>
        <w:numPr>
          <w:ilvl w:val="0"/>
          <w:numId w:val="15"/>
        </w:numPr>
        <w:jc w:val="both"/>
        <w:rPr>
          <w:rFonts w:ascii="Calibri" w:hAnsi="Calibri" w:cs="Calibri"/>
          <w:szCs w:val="24"/>
          <w:lang w:val="en-GB"/>
        </w:rPr>
      </w:pPr>
      <w:r w:rsidRPr="00C93030">
        <w:rPr>
          <w:rStyle w:val="Emphasis"/>
          <w:rFonts w:ascii="Calibri" w:hAnsi="Calibri" w:cs="Calibri"/>
          <w:i w:val="0"/>
          <w:szCs w:val="24"/>
          <w:lang w:val="en-GB"/>
        </w:rPr>
        <w:t xml:space="preserve">- List of </w:t>
      </w:r>
      <w:proofErr w:type="spellStart"/>
      <w:r w:rsidRPr="00C93030">
        <w:rPr>
          <w:rStyle w:val="Emphasis"/>
          <w:rFonts w:ascii="Calibri" w:hAnsi="Calibri" w:cs="Calibri"/>
          <w:i w:val="0"/>
          <w:szCs w:val="24"/>
          <w:lang w:val="en-GB"/>
        </w:rPr>
        <w:t>parafiscal</w:t>
      </w:r>
      <w:proofErr w:type="spellEnd"/>
      <w:r w:rsidRPr="00C93030">
        <w:rPr>
          <w:rStyle w:val="Emphasis"/>
          <w:rFonts w:ascii="Calibri" w:hAnsi="Calibri" w:cs="Calibri"/>
          <w:i w:val="0"/>
          <w:szCs w:val="24"/>
          <w:lang w:val="en-GB"/>
        </w:rPr>
        <w:t xml:space="preserve"> charges for 21 Municipalities</w:t>
      </w:r>
    </w:p>
    <w:p w14:paraId="754EF528" w14:textId="77777777" w:rsidR="007C0B2B" w:rsidRPr="00004F73" w:rsidRDefault="007C0B2B" w:rsidP="007C0B2B">
      <w:pPr>
        <w:ind w:left="709" w:hanging="349"/>
        <w:outlineLvl w:val="0"/>
        <w:rPr>
          <w:rFonts w:ascii="Calibri" w:hAnsi="Calibri" w:cs="Calibri"/>
          <w:sz w:val="24"/>
          <w:szCs w:val="24"/>
        </w:rPr>
      </w:pPr>
      <w:r w:rsidRPr="00004F73">
        <w:rPr>
          <w:rStyle w:val="Strong"/>
          <w:rFonts w:ascii="Calibri" w:hAnsi="Calibri" w:cs="Calibri"/>
          <w:sz w:val="24"/>
          <w:szCs w:val="24"/>
        </w:rPr>
        <w:t xml:space="preserve">8. </w:t>
      </w:r>
      <w:r w:rsidRPr="00004F73">
        <w:rPr>
          <w:rStyle w:val="Strong"/>
          <w:rFonts w:ascii="Calibri" w:hAnsi="Calibri" w:cs="Calibri"/>
          <w:sz w:val="24"/>
          <w:szCs w:val="24"/>
        </w:rPr>
        <w:tab/>
        <w:t>Number and titles of lots</w:t>
      </w:r>
    </w:p>
    <w:p w14:paraId="711FE5F5" w14:textId="77777777" w:rsidR="007C0B2B" w:rsidRPr="00004F73" w:rsidRDefault="007C0B2B" w:rsidP="007C0B2B">
      <w:pPr>
        <w:ind w:left="709" w:hanging="349"/>
        <w:outlineLvl w:val="0"/>
        <w:rPr>
          <w:rStyle w:val="Emphasis"/>
          <w:rFonts w:ascii="Calibri" w:hAnsi="Calibri" w:cs="Calibri"/>
          <w:i w:val="0"/>
          <w:sz w:val="24"/>
          <w:szCs w:val="24"/>
        </w:rPr>
      </w:pPr>
      <w:r w:rsidRPr="00004F73">
        <w:rPr>
          <w:rStyle w:val="Emphasis"/>
          <w:rFonts w:ascii="Calibri" w:hAnsi="Calibri" w:cs="Calibri"/>
          <w:i w:val="0"/>
          <w:sz w:val="24"/>
          <w:szCs w:val="24"/>
        </w:rPr>
        <w:t>One lot only</w:t>
      </w:r>
    </w:p>
    <w:p w14:paraId="725F8A78" w14:textId="77777777" w:rsidR="004749D0" w:rsidRPr="00004F73" w:rsidRDefault="004749D0" w:rsidP="007C0B2B">
      <w:pPr>
        <w:ind w:left="709" w:hanging="349"/>
        <w:outlineLvl w:val="0"/>
        <w:rPr>
          <w:rStyle w:val="Emphasis"/>
          <w:rFonts w:ascii="Calibri" w:hAnsi="Calibri" w:cs="Calibri"/>
          <w:i w:val="0"/>
          <w:sz w:val="24"/>
          <w:szCs w:val="24"/>
        </w:rPr>
      </w:pPr>
    </w:p>
    <w:p w14:paraId="6FC5CD87" w14:textId="77777777" w:rsidR="007C0B2B" w:rsidRPr="00004F73" w:rsidRDefault="007C0B2B" w:rsidP="007C0B2B">
      <w:pPr>
        <w:ind w:left="709" w:hanging="349"/>
        <w:outlineLvl w:val="0"/>
        <w:rPr>
          <w:rStyle w:val="Strong"/>
          <w:rFonts w:ascii="Calibri" w:hAnsi="Calibri" w:cs="Calibri"/>
          <w:sz w:val="24"/>
          <w:szCs w:val="24"/>
        </w:rPr>
      </w:pPr>
      <w:r w:rsidRPr="00004F73">
        <w:rPr>
          <w:rStyle w:val="Strong"/>
          <w:rFonts w:ascii="Calibri" w:hAnsi="Calibri" w:cs="Calibri"/>
          <w:sz w:val="24"/>
          <w:szCs w:val="24"/>
        </w:rPr>
        <w:t xml:space="preserve">9. </w:t>
      </w:r>
      <w:r w:rsidRPr="00004F73">
        <w:rPr>
          <w:rStyle w:val="Strong"/>
          <w:rFonts w:ascii="Calibri" w:hAnsi="Calibri" w:cs="Calibri"/>
          <w:sz w:val="24"/>
          <w:szCs w:val="24"/>
        </w:rPr>
        <w:tab/>
        <w:t>Maximum budget</w:t>
      </w:r>
    </w:p>
    <w:p w14:paraId="126AB90B" w14:textId="580D8CE4" w:rsidR="007C0B2B" w:rsidRPr="00004F73" w:rsidRDefault="004749D0" w:rsidP="007C0B2B">
      <w:pPr>
        <w:ind w:left="709" w:hanging="349"/>
        <w:outlineLvl w:val="0"/>
        <w:rPr>
          <w:rFonts w:ascii="Calibri" w:hAnsi="Calibri" w:cs="Calibri"/>
          <w:sz w:val="24"/>
          <w:szCs w:val="24"/>
        </w:rPr>
      </w:pPr>
      <w:r w:rsidRPr="00004F73">
        <w:rPr>
          <w:rStyle w:val="Strong"/>
          <w:rFonts w:ascii="Calibri" w:hAnsi="Calibri" w:cs="Calibri"/>
          <w:sz w:val="24"/>
          <w:szCs w:val="24"/>
        </w:rPr>
        <w:t>One lot only - 3.75</w:t>
      </w:r>
      <w:r w:rsidR="007C0B2B" w:rsidRPr="00004F73">
        <w:rPr>
          <w:rStyle w:val="Strong"/>
          <w:rFonts w:ascii="Calibri" w:hAnsi="Calibri" w:cs="Calibri"/>
          <w:sz w:val="24"/>
          <w:szCs w:val="24"/>
        </w:rPr>
        <w:t xml:space="preserve">0 </w:t>
      </w:r>
      <w:r w:rsidR="007C0B2B" w:rsidRPr="00004F73">
        <w:rPr>
          <w:rFonts w:ascii="Calibri" w:hAnsi="Calibri" w:cs="Calibri"/>
          <w:sz w:val="24"/>
          <w:szCs w:val="24"/>
        </w:rPr>
        <w:t>EUR</w:t>
      </w:r>
    </w:p>
    <w:p w14:paraId="56500A17" w14:textId="77777777" w:rsidR="004749D0" w:rsidRPr="00004F73" w:rsidRDefault="004749D0" w:rsidP="007C0B2B">
      <w:pPr>
        <w:ind w:left="709" w:hanging="349"/>
        <w:outlineLvl w:val="0"/>
        <w:rPr>
          <w:rFonts w:ascii="Calibri" w:hAnsi="Calibri" w:cs="Calibri"/>
          <w:b/>
          <w:sz w:val="24"/>
          <w:szCs w:val="24"/>
        </w:rPr>
      </w:pPr>
    </w:p>
    <w:p w14:paraId="579FEECB" w14:textId="77777777" w:rsidR="004749D0" w:rsidRPr="00004F73" w:rsidRDefault="004749D0" w:rsidP="007C0B2B">
      <w:pPr>
        <w:ind w:left="709" w:hanging="349"/>
        <w:outlineLvl w:val="0"/>
        <w:rPr>
          <w:rFonts w:ascii="Calibri" w:hAnsi="Calibri" w:cs="Calibri"/>
          <w:b/>
          <w:sz w:val="24"/>
          <w:szCs w:val="24"/>
        </w:rPr>
      </w:pPr>
    </w:p>
    <w:p w14:paraId="23499E5C" w14:textId="77777777" w:rsidR="007C0B2B" w:rsidRPr="00B33EE6" w:rsidRDefault="007C0B2B" w:rsidP="007C0B2B">
      <w:pPr>
        <w:jc w:val="center"/>
        <w:rPr>
          <w:sz w:val="28"/>
          <w:szCs w:val="28"/>
        </w:rPr>
      </w:pPr>
      <w:r w:rsidRPr="00B33EE6">
        <w:rPr>
          <w:rStyle w:val="Strong"/>
          <w:sz w:val="28"/>
          <w:szCs w:val="28"/>
        </w:rPr>
        <w:t>CONDITIONS OF PARTICIPATION</w:t>
      </w:r>
    </w:p>
    <w:p w14:paraId="5A4CEE36" w14:textId="77777777" w:rsidR="007C0B2B" w:rsidRDefault="007C0B2B" w:rsidP="007C0B2B">
      <w:pPr>
        <w:ind w:left="709" w:hanging="349"/>
        <w:outlineLvl w:val="0"/>
        <w:rPr>
          <w:rStyle w:val="Strong"/>
        </w:rPr>
      </w:pPr>
    </w:p>
    <w:p w14:paraId="545B6FB3" w14:textId="5BBE2C38" w:rsidR="007C0B2B" w:rsidRPr="00004F73" w:rsidRDefault="00E41A22" w:rsidP="006F085A">
      <w:pPr>
        <w:spacing w:after="120"/>
        <w:ind w:left="706" w:hanging="346"/>
        <w:jc w:val="both"/>
        <w:outlineLvl w:val="0"/>
        <w:rPr>
          <w:rFonts w:ascii="Calibri" w:hAnsi="Calibri" w:cs="Calibri"/>
          <w:sz w:val="24"/>
          <w:szCs w:val="24"/>
        </w:rPr>
      </w:pPr>
      <w:r w:rsidRPr="00004F73">
        <w:rPr>
          <w:rStyle w:val="Strong"/>
          <w:rFonts w:ascii="Calibri" w:hAnsi="Calibri" w:cs="Calibri"/>
          <w:sz w:val="24"/>
          <w:szCs w:val="24"/>
        </w:rPr>
        <w:t xml:space="preserve">10. </w:t>
      </w:r>
      <w:r w:rsidR="007C0B2B" w:rsidRPr="00004F73">
        <w:rPr>
          <w:rStyle w:val="Strong"/>
          <w:rFonts w:ascii="Calibri" w:hAnsi="Calibri" w:cs="Calibri"/>
          <w:sz w:val="24"/>
          <w:szCs w:val="24"/>
        </w:rPr>
        <w:t>Eligibility</w:t>
      </w:r>
    </w:p>
    <w:p w14:paraId="6886A8B5" w14:textId="3ACA58F4" w:rsidR="007C0B2B" w:rsidRPr="00004F73" w:rsidRDefault="007C0B2B" w:rsidP="006F085A">
      <w:pPr>
        <w:spacing w:after="120"/>
        <w:ind w:left="432"/>
        <w:jc w:val="both"/>
        <w:rPr>
          <w:rFonts w:ascii="Calibri" w:hAnsi="Calibri" w:cs="Calibri"/>
          <w:sz w:val="24"/>
          <w:szCs w:val="24"/>
        </w:rPr>
      </w:pPr>
      <w:r w:rsidRPr="00004F73">
        <w:rPr>
          <w:rFonts w:ascii="Calibri" w:hAnsi="Calibri" w:cs="Calibri"/>
          <w:sz w:val="24"/>
          <w:szCs w:val="24"/>
        </w:rPr>
        <w:t xml:space="preserve">Participation is open to all </w:t>
      </w:r>
      <w:r w:rsidR="002766FC">
        <w:rPr>
          <w:rFonts w:ascii="Calibri" w:hAnsi="Calibri" w:cs="Calibri"/>
          <w:sz w:val="24"/>
          <w:szCs w:val="24"/>
        </w:rPr>
        <w:t xml:space="preserve">natural </w:t>
      </w:r>
      <w:r w:rsidRPr="00004F73">
        <w:rPr>
          <w:rFonts w:ascii="Calibri" w:hAnsi="Calibri" w:cs="Calibri"/>
          <w:sz w:val="24"/>
          <w:szCs w:val="24"/>
        </w:rPr>
        <w:t xml:space="preserve">persons </w:t>
      </w:r>
      <w:r w:rsidR="002766FC">
        <w:rPr>
          <w:rFonts w:ascii="Calibri" w:hAnsi="Calibri" w:cs="Calibri"/>
          <w:sz w:val="24"/>
          <w:szCs w:val="24"/>
        </w:rPr>
        <w:t xml:space="preserve">who satisfy the eligibility criteria noted in point </w:t>
      </w:r>
      <w:r w:rsidR="006F085A">
        <w:rPr>
          <w:rFonts w:ascii="Calibri" w:hAnsi="Calibri" w:cs="Calibri"/>
          <w:sz w:val="24"/>
          <w:szCs w:val="24"/>
        </w:rPr>
        <w:t>1</w:t>
      </w:r>
      <w:r w:rsidR="002766FC">
        <w:rPr>
          <w:rFonts w:ascii="Calibri" w:hAnsi="Calibri" w:cs="Calibri"/>
          <w:sz w:val="24"/>
          <w:szCs w:val="24"/>
        </w:rPr>
        <w:t xml:space="preserve">6. </w:t>
      </w:r>
    </w:p>
    <w:p w14:paraId="11031F31" w14:textId="5BD1AE7C" w:rsidR="007C0B2B" w:rsidRPr="00004F73" w:rsidRDefault="00E41A22" w:rsidP="006F085A">
      <w:pPr>
        <w:spacing w:after="120"/>
        <w:ind w:left="709" w:hanging="349"/>
        <w:jc w:val="both"/>
        <w:outlineLvl w:val="0"/>
        <w:rPr>
          <w:rFonts w:ascii="Calibri" w:hAnsi="Calibri" w:cs="Calibri"/>
          <w:sz w:val="24"/>
          <w:szCs w:val="24"/>
        </w:rPr>
      </w:pPr>
      <w:r w:rsidRPr="00004F73">
        <w:rPr>
          <w:rStyle w:val="Strong"/>
          <w:rFonts w:ascii="Calibri" w:hAnsi="Calibri" w:cs="Calibri"/>
          <w:sz w:val="24"/>
          <w:szCs w:val="24"/>
        </w:rPr>
        <w:t xml:space="preserve">11. </w:t>
      </w:r>
      <w:r w:rsidR="007C0B2B" w:rsidRPr="00004F73">
        <w:rPr>
          <w:rStyle w:val="Strong"/>
          <w:rFonts w:ascii="Calibri" w:hAnsi="Calibri" w:cs="Calibri"/>
          <w:sz w:val="24"/>
          <w:szCs w:val="24"/>
        </w:rPr>
        <w:t>Number of tenders</w:t>
      </w:r>
    </w:p>
    <w:p w14:paraId="386B6808" w14:textId="0AA152B1" w:rsidR="007C0B2B" w:rsidRPr="00004F73" w:rsidRDefault="007C0B2B" w:rsidP="006F085A">
      <w:pPr>
        <w:pStyle w:val="Blockquote"/>
        <w:spacing w:before="0" w:after="120"/>
        <w:jc w:val="both"/>
        <w:rPr>
          <w:rStyle w:val="Strong"/>
          <w:rFonts w:ascii="Calibri" w:hAnsi="Calibri" w:cs="Calibri"/>
          <w:b w:val="0"/>
          <w:szCs w:val="24"/>
          <w:lang w:val="en-GB"/>
        </w:rPr>
      </w:pPr>
      <w:r w:rsidRPr="00004F73">
        <w:rPr>
          <w:rFonts w:ascii="Calibri" w:hAnsi="Calibri" w:cs="Calibri"/>
          <w:szCs w:val="24"/>
          <w:lang w:val="en-GB"/>
        </w:rPr>
        <w:t xml:space="preserve">No more than one tender can be submitted by a </w:t>
      </w:r>
      <w:r w:rsidR="002766FC">
        <w:rPr>
          <w:rFonts w:ascii="Calibri" w:hAnsi="Calibri" w:cs="Calibri"/>
          <w:szCs w:val="24"/>
          <w:lang w:val="en-GB"/>
        </w:rPr>
        <w:t xml:space="preserve">person. </w:t>
      </w:r>
      <w:r w:rsidRPr="00004F73">
        <w:rPr>
          <w:rFonts w:ascii="Calibri" w:hAnsi="Calibri" w:cs="Calibri"/>
          <w:szCs w:val="24"/>
          <w:lang w:val="en-GB"/>
        </w:rPr>
        <w:t>In the event that a person submits more than one tender, all tenders in which that person has participated will be excluded.</w:t>
      </w:r>
    </w:p>
    <w:p w14:paraId="0B82C3AA" w14:textId="4937CE1B" w:rsidR="007C0B2B" w:rsidRPr="00004F73" w:rsidRDefault="00E41A22" w:rsidP="006F085A">
      <w:pPr>
        <w:spacing w:after="120"/>
        <w:ind w:left="709" w:hanging="349"/>
        <w:jc w:val="both"/>
        <w:outlineLvl w:val="0"/>
        <w:rPr>
          <w:rFonts w:ascii="Calibri" w:hAnsi="Calibri" w:cs="Calibri"/>
          <w:sz w:val="24"/>
          <w:szCs w:val="24"/>
        </w:rPr>
      </w:pPr>
      <w:r w:rsidRPr="00004F73">
        <w:rPr>
          <w:rStyle w:val="Strong"/>
          <w:rFonts w:ascii="Calibri" w:hAnsi="Calibri" w:cs="Calibri"/>
          <w:sz w:val="24"/>
          <w:szCs w:val="24"/>
        </w:rPr>
        <w:t xml:space="preserve">12. </w:t>
      </w:r>
      <w:r w:rsidR="007C0B2B" w:rsidRPr="00004F73">
        <w:rPr>
          <w:rStyle w:val="Strong"/>
          <w:rFonts w:ascii="Calibri" w:hAnsi="Calibri" w:cs="Calibri"/>
          <w:sz w:val="24"/>
          <w:szCs w:val="24"/>
        </w:rPr>
        <w:t>Grounds for exclusion</w:t>
      </w:r>
    </w:p>
    <w:p w14:paraId="3299128C" w14:textId="77777777" w:rsidR="007C0B2B" w:rsidRPr="00004F73" w:rsidRDefault="007C0B2B" w:rsidP="006F085A">
      <w:pPr>
        <w:pStyle w:val="Blockquote"/>
        <w:spacing w:before="0" w:after="120"/>
        <w:jc w:val="both"/>
        <w:rPr>
          <w:rFonts w:ascii="Calibri" w:hAnsi="Calibri" w:cs="Calibri"/>
          <w:szCs w:val="24"/>
          <w:lang w:val="en-GB"/>
        </w:rPr>
      </w:pPr>
      <w:r w:rsidRPr="00004F73">
        <w:rPr>
          <w:rFonts w:ascii="Calibri" w:hAnsi="Calibri" w:cs="Calibri"/>
          <w:szCs w:val="24"/>
          <w:lang w:val="en-GB"/>
        </w:rPr>
        <w:t xml:space="preserve">As part of the tender, tenderers must submit a signed declaration, included in the tender form, to the effect that they are not in any of the exclusion situations listed in Section 2.6.10.1. </w:t>
      </w:r>
      <w:proofErr w:type="gramStart"/>
      <w:r w:rsidRPr="00004F73">
        <w:rPr>
          <w:rFonts w:ascii="Calibri" w:hAnsi="Calibri" w:cs="Calibri"/>
          <w:szCs w:val="24"/>
          <w:lang w:val="en-GB"/>
        </w:rPr>
        <w:t>of</w:t>
      </w:r>
      <w:proofErr w:type="gramEnd"/>
      <w:r w:rsidRPr="00004F73">
        <w:rPr>
          <w:rFonts w:ascii="Calibri" w:hAnsi="Calibri" w:cs="Calibri"/>
          <w:szCs w:val="24"/>
          <w:lang w:val="en-GB"/>
        </w:rPr>
        <w:t xml:space="preserve"> the practical guide. </w:t>
      </w:r>
    </w:p>
    <w:p w14:paraId="23662D1A" w14:textId="69EE0E0A" w:rsidR="007C0B2B" w:rsidRPr="00004F73" w:rsidRDefault="007C0B2B" w:rsidP="006F085A">
      <w:pPr>
        <w:pStyle w:val="Blockquote"/>
        <w:spacing w:before="0" w:after="120"/>
        <w:jc w:val="both"/>
        <w:rPr>
          <w:rFonts w:ascii="Calibri" w:hAnsi="Calibri" w:cs="Calibri"/>
          <w:szCs w:val="24"/>
          <w:lang w:val="en-GB"/>
        </w:rPr>
      </w:pPr>
      <w:r w:rsidRPr="00004F73">
        <w:rPr>
          <w:rFonts w:ascii="Calibri" w:hAnsi="Calibri" w:cs="Calibri"/>
          <w:szCs w:val="24"/>
          <w:lang w:val="en-GB"/>
        </w:rPr>
        <w:t xml:space="preserve">Tenderer included in the lists of EU restrictive measures (see Section 2.4. of the PRAG) at the moment of the award decision cannot be awarded the contract. </w:t>
      </w:r>
    </w:p>
    <w:p w14:paraId="21DD0781" w14:textId="77777777" w:rsidR="007C0B2B" w:rsidRPr="00004F73" w:rsidRDefault="007C0B2B" w:rsidP="006F085A">
      <w:pPr>
        <w:spacing w:after="120"/>
        <w:ind w:left="709" w:hanging="349"/>
        <w:jc w:val="both"/>
        <w:outlineLvl w:val="0"/>
        <w:rPr>
          <w:rFonts w:ascii="Calibri" w:hAnsi="Calibri" w:cs="Calibri"/>
          <w:sz w:val="24"/>
          <w:szCs w:val="24"/>
        </w:rPr>
      </w:pPr>
      <w:r w:rsidRPr="00004F73">
        <w:rPr>
          <w:rStyle w:val="Strong"/>
          <w:rFonts w:ascii="Calibri" w:hAnsi="Calibri" w:cs="Calibri"/>
          <w:sz w:val="24"/>
          <w:szCs w:val="24"/>
        </w:rPr>
        <w:t xml:space="preserve">13. </w:t>
      </w:r>
      <w:r w:rsidRPr="00004F73">
        <w:rPr>
          <w:rStyle w:val="Strong"/>
          <w:rFonts w:ascii="Calibri" w:hAnsi="Calibri" w:cs="Calibri"/>
          <w:sz w:val="24"/>
          <w:szCs w:val="24"/>
        </w:rPr>
        <w:tab/>
        <w:t>Sub-contracting</w:t>
      </w:r>
    </w:p>
    <w:p w14:paraId="37759729" w14:textId="7A282496" w:rsidR="007C0B2B" w:rsidRPr="00004F73" w:rsidRDefault="007C0B2B" w:rsidP="006F085A">
      <w:pPr>
        <w:spacing w:after="120"/>
        <w:ind w:left="709" w:hanging="349"/>
        <w:jc w:val="both"/>
        <w:outlineLvl w:val="0"/>
        <w:rPr>
          <w:rStyle w:val="Emphasis"/>
          <w:rFonts w:ascii="Calibri" w:hAnsi="Calibri" w:cs="Calibri"/>
          <w:i w:val="0"/>
          <w:sz w:val="24"/>
          <w:szCs w:val="24"/>
        </w:rPr>
      </w:pPr>
      <w:r w:rsidRPr="00004F73">
        <w:rPr>
          <w:rStyle w:val="Emphasis"/>
          <w:rFonts w:ascii="Calibri" w:hAnsi="Calibri" w:cs="Calibri"/>
          <w:i w:val="0"/>
          <w:sz w:val="24"/>
          <w:szCs w:val="24"/>
        </w:rPr>
        <w:lastRenderedPageBreak/>
        <w:t>Subcontracting is</w:t>
      </w:r>
      <w:r w:rsidR="002766FC">
        <w:rPr>
          <w:rStyle w:val="Emphasis"/>
          <w:rFonts w:ascii="Calibri" w:hAnsi="Calibri" w:cs="Calibri"/>
          <w:i w:val="0"/>
          <w:sz w:val="24"/>
          <w:szCs w:val="24"/>
        </w:rPr>
        <w:t xml:space="preserve"> not</w:t>
      </w:r>
      <w:r w:rsidRPr="00004F73">
        <w:rPr>
          <w:rStyle w:val="Emphasis"/>
          <w:rFonts w:ascii="Calibri" w:hAnsi="Calibri" w:cs="Calibri"/>
          <w:i w:val="0"/>
          <w:sz w:val="24"/>
          <w:szCs w:val="24"/>
        </w:rPr>
        <w:t xml:space="preserve"> allowed.</w:t>
      </w:r>
    </w:p>
    <w:p w14:paraId="2B21AB84" w14:textId="77777777" w:rsidR="00E41A22" w:rsidRPr="00004F73" w:rsidRDefault="00E41A22" w:rsidP="007C0B2B">
      <w:pPr>
        <w:ind w:left="709" w:hanging="349"/>
        <w:outlineLvl w:val="0"/>
        <w:rPr>
          <w:rStyle w:val="Emphasis"/>
          <w:rFonts w:ascii="Calibri" w:hAnsi="Calibri" w:cs="Calibri"/>
          <w:i w:val="0"/>
          <w:sz w:val="24"/>
          <w:szCs w:val="24"/>
        </w:rPr>
      </w:pPr>
    </w:p>
    <w:p w14:paraId="3534DBAF" w14:textId="77777777" w:rsidR="007C0B2B" w:rsidRDefault="007C0B2B" w:rsidP="007C0B2B">
      <w:pPr>
        <w:keepNext/>
        <w:jc w:val="center"/>
        <w:rPr>
          <w:rStyle w:val="Strong"/>
          <w:sz w:val="28"/>
          <w:szCs w:val="28"/>
        </w:rPr>
      </w:pPr>
      <w:r w:rsidRPr="00B33EE6">
        <w:rPr>
          <w:rStyle w:val="Strong"/>
          <w:sz w:val="28"/>
          <w:szCs w:val="28"/>
        </w:rPr>
        <w:t>PROVISIONAL TIMETABLE</w:t>
      </w:r>
    </w:p>
    <w:p w14:paraId="0FAF6C1A" w14:textId="77777777" w:rsidR="00E41A22" w:rsidRPr="00B33EE6" w:rsidRDefault="00E41A22" w:rsidP="007C0B2B">
      <w:pPr>
        <w:keepNext/>
        <w:jc w:val="center"/>
        <w:rPr>
          <w:sz w:val="28"/>
          <w:szCs w:val="28"/>
        </w:rPr>
      </w:pPr>
    </w:p>
    <w:p w14:paraId="47DC8F9B" w14:textId="77777777" w:rsidR="007C0B2B" w:rsidRPr="006F085A" w:rsidRDefault="007C0B2B" w:rsidP="006F085A">
      <w:pPr>
        <w:spacing w:after="120"/>
        <w:ind w:left="709" w:hanging="349"/>
        <w:outlineLvl w:val="0"/>
        <w:rPr>
          <w:rFonts w:asciiTheme="minorHAnsi" w:hAnsiTheme="minorHAnsi" w:cstheme="minorHAnsi"/>
          <w:sz w:val="24"/>
          <w:szCs w:val="24"/>
        </w:rPr>
      </w:pPr>
      <w:r w:rsidRPr="006F085A">
        <w:rPr>
          <w:rStyle w:val="Strong"/>
          <w:rFonts w:asciiTheme="minorHAnsi" w:hAnsiTheme="minorHAnsi" w:cstheme="minorHAnsi"/>
          <w:sz w:val="24"/>
          <w:szCs w:val="24"/>
        </w:rPr>
        <w:t xml:space="preserve">14. </w:t>
      </w:r>
      <w:r w:rsidRPr="006F085A">
        <w:rPr>
          <w:rStyle w:val="Strong"/>
          <w:rFonts w:asciiTheme="minorHAnsi" w:hAnsiTheme="minorHAnsi" w:cstheme="minorHAnsi"/>
          <w:sz w:val="24"/>
          <w:szCs w:val="24"/>
        </w:rPr>
        <w:tab/>
        <w:t>Provisional commencement date of the contract</w:t>
      </w:r>
    </w:p>
    <w:p w14:paraId="57D2CFFA" w14:textId="15A4910A" w:rsidR="00E41A22" w:rsidRPr="006F085A" w:rsidRDefault="002766FC" w:rsidP="006F085A">
      <w:pPr>
        <w:spacing w:after="120"/>
        <w:ind w:left="709" w:hanging="349"/>
        <w:outlineLvl w:val="0"/>
        <w:rPr>
          <w:rStyle w:val="Emphasis"/>
          <w:rFonts w:asciiTheme="minorHAnsi" w:hAnsiTheme="minorHAnsi" w:cstheme="minorHAnsi"/>
          <w:sz w:val="24"/>
          <w:szCs w:val="24"/>
        </w:rPr>
      </w:pPr>
      <w:r w:rsidRPr="006F085A">
        <w:rPr>
          <w:rStyle w:val="Emphasis"/>
          <w:rFonts w:asciiTheme="minorHAnsi" w:hAnsiTheme="minorHAnsi" w:cstheme="minorHAnsi"/>
          <w:sz w:val="24"/>
          <w:szCs w:val="24"/>
        </w:rPr>
        <w:t>01.06</w:t>
      </w:r>
      <w:r w:rsidR="007C0B2B" w:rsidRPr="006F085A">
        <w:rPr>
          <w:rStyle w:val="Emphasis"/>
          <w:rFonts w:asciiTheme="minorHAnsi" w:hAnsiTheme="minorHAnsi" w:cstheme="minorHAnsi"/>
          <w:sz w:val="24"/>
          <w:szCs w:val="24"/>
        </w:rPr>
        <w:t>.2021</w:t>
      </w:r>
    </w:p>
    <w:p w14:paraId="4604818B" w14:textId="77777777" w:rsidR="007C0B2B" w:rsidRPr="006F085A" w:rsidRDefault="007C0B2B" w:rsidP="006F085A">
      <w:pPr>
        <w:spacing w:after="120"/>
        <w:ind w:left="709" w:hanging="349"/>
        <w:outlineLvl w:val="0"/>
        <w:rPr>
          <w:rFonts w:asciiTheme="minorHAnsi" w:hAnsiTheme="minorHAnsi" w:cstheme="minorHAnsi"/>
          <w:sz w:val="24"/>
          <w:szCs w:val="24"/>
        </w:rPr>
      </w:pPr>
      <w:r w:rsidRPr="006F085A">
        <w:rPr>
          <w:rStyle w:val="Strong"/>
          <w:rFonts w:asciiTheme="minorHAnsi" w:hAnsiTheme="minorHAnsi" w:cstheme="minorHAnsi"/>
          <w:sz w:val="24"/>
          <w:szCs w:val="24"/>
        </w:rPr>
        <w:t xml:space="preserve">15. </w:t>
      </w:r>
      <w:r w:rsidRPr="006F085A">
        <w:rPr>
          <w:rStyle w:val="Strong"/>
          <w:rFonts w:asciiTheme="minorHAnsi" w:hAnsiTheme="minorHAnsi" w:cstheme="minorHAnsi"/>
          <w:sz w:val="24"/>
          <w:szCs w:val="24"/>
        </w:rPr>
        <w:tab/>
        <w:t xml:space="preserve">Implementation period of the tasks </w:t>
      </w:r>
    </w:p>
    <w:p w14:paraId="35EA94ED" w14:textId="11F7F450" w:rsidR="007C0B2B" w:rsidRPr="006F085A" w:rsidRDefault="007C0B2B" w:rsidP="006F085A">
      <w:pPr>
        <w:pStyle w:val="Blockquote"/>
        <w:spacing w:before="0" w:after="120"/>
        <w:jc w:val="both"/>
        <w:rPr>
          <w:rFonts w:asciiTheme="minorHAnsi" w:hAnsiTheme="minorHAnsi" w:cstheme="minorHAnsi"/>
          <w:i/>
          <w:szCs w:val="24"/>
          <w:lang w:val="en-GB"/>
        </w:rPr>
      </w:pPr>
      <w:r w:rsidRPr="00FA64CC">
        <w:rPr>
          <w:rStyle w:val="Emphasis"/>
          <w:rFonts w:asciiTheme="minorHAnsi" w:hAnsiTheme="minorHAnsi" w:cstheme="minorHAnsi"/>
          <w:szCs w:val="24"/>
          <w:lang w:val="en-GB"/>
        </w:rPr>
        <w:t>Until 3</w:t>
      </w:r>
      <w:r w:rsidR="00FA64CC" w:rsidRPr="00FA64CC">
        <w:rPr>
          <w:rStyle w:val="Emphasis"/>
          <w:rFonts w:asciiTheme="minorHAnsi" w:hAnsiTheme="minorHAnsi" w:cstheme="minorHAnsi"/>
          <w:szCs w:val="24"/>
          <w:lang w:val="en-GB"/>
        </w:rPr>
        <w:t>0.11</w:t>
      </w:r>
      <w:r w:rsidRPr="00FA64CC">
        <w:rPr>
          <w:rStyle w:val="Emphasis"/>
          <w:rFonts w:asciiTheme="minorHAnsi" w:hAnsiTheme="minorHAnsi" w:cstheme="minorHAnsi"/>
          <w:szCs w:val="24"/>
          <w:lang w:val="en-GB"/>
        </w:rPr>
        <w:t>.202</w:t>
      </w:r>
      <w:r w:rsidR="00FA64CC" w:rsidRPr="00FA64CC">
        <w:rPr>
          <w:rStyle w:val="Emphasis"/>
          <w:rFonts w:asciiTheme="minorHAnsi" w:hAnsiTheme="minorHAnsi" w:cstheme="minorHAnsi"/>
          <w:szCs w:val="24"/>
          <w:lang w:val="en-GB"/>
        </w:rPr>
        <w:t>1</w:t>
      </w:r>
    </w:p>
    <w:p w14:paraId="0360235D" w14:textId="77777777" w:rsidR="007C0B2B" w:rsidRPr="00B33EE6" w:rsidRDefault="007C0B2B" w:rsidP="007C0B2B">
      <w:pPr>
        <w:rPr>
          <w:sz w:val="22"/>
        </w:rPr>
      </w:pPr>
    </w:p>
    <w:p w14:paraId="1A396368" w14:textId="77777777" w:rsidR="007C0B2B" w:rsidRDefault="007C0B2B" w:rsidP="007C0B2B">
      <w:pPr>
        <w:jc w:val="center"/>
        <w:rPr>
          <w:rStyle w:val="Strong"/>
          <w:sz w:val="28"/>
          <w:szCs w:val="28"/>
        </w:rPr>
      </w:pPr>
      <w:r w:rsidRPr="00B33EE6">
        <w:rPr>
          <w:rStyle w:val="Strong"/>
          <w:sz w:val="28"/>
          <w:szCs w:val="28"/>
        </w:rPr>
        <w:t>SELECTION AND AWARD CRITERIA</w:t>
      </w:r>
    </w:p>
    <w:p w14:paraId="74EE9358" w14:textId="77777777" w:rsidR="00E41A22" w:rsidRPr="00B33EE6" w:rsidRDefault="00E41A22" w:rsidP="007C0B2B">
      <w:pPr>
        <w:jc w:val="center"/>
        <w:rPr>
          <w:sz w:val="28"/>
          <w:szCs w:val="28"/>
        </w:rPr>
      </w:pPr>
    </w:p>
    <w:p w14:paraId="26A73E3C" w14:textId="77777777" w:rsidR="007C0B2B" w:rsidRPr="00C93030" w:rsidRDefault="007C0B2B" w:rsidP="006F085A">
      <w:pPr>
        <w:spacing w:after="120"/>
        <w:ind w:left="709" w:hanging="349"/>
        <w:outlineLvl w:val="0"/>
        <w:rPr>
          <w:rFonts w:asciiTheme="minorHAnsi" w:hAnsiTheme="minorHAnsi" w:cstheme="minorHAnsi"/>
          <w:sz w:val="24"/>
          <w:szCs w:val="24"/>
        </w:rPr>
      </w:pPr>
      <w:r w:rsidRPr="00C93030">
        <w:rPr>
          <w:rStyle w:val="Strong"/>
          <w:rFonts w:asciiTheme="minorHAnsi" w:hAnsiTheme="minorHAnsi" w:cstheme="minorHAnsi"/>
          <w:sz w:val="24"/>
          <w:szCs w:val="24"/>
        </w:rPr>
        <w:t xml:space="preserve">16. </w:t>
      </w:r>
      <w:r w:rsidRPr="00C93030">
        <w:rPr>
          <w:rStyle w:val="Strong"/>
          <w:rFonts w:asciiTheme="minorHAnsi" w:hAnsiTheme="minorHAnsi" w:cstheme="minorHAnsi"/>
          <w:sz w:val="24"/>
          <w:szCs w:val="24"/>
        </w:rPr>
        <w:tab/>
        <w:t>Selection criteria</w:t>
      </w:r>
    </w:p>
    <w:p w14:paraId="76FE9790" w14:textId="35C71ABA" w:rsidR="007C0B2B" w:rsidRPr="00C93030" w:rsidRDefault="007C0B2B" w:rsidP="006F085A">
      <w:pPr>
        <w:pStyle w:val="Blockquote"/>
        <w:spacing w:before="0" w:after="120"/>
        <w:jc w:val="both"/>
        <w:rPr>
          <w:rFonts w:asciiTheme="minorHAnsi" w:hAnsiTheme="minorHAnsi" w:cstheme="minorHAnsi"/>
          <w:szCs w:val="24"/>
          <w:lang w:val="en-GB"/>
        </w:rPr>
      </w:pPr>
      <w:r w:rsidRPr="00C93030">
        <w:rPr>
          <w:rFonts w:asciiTheme="minorHAnsi" w:hAnsiTheme="minorHAnsi" w:cstheme="minorHAnsi"/>
          <w:szCs w:val="24"/>
          <w:lang w:val="en-GB"/>
        </w:rPr>
        <w:t xml:space="preserve">The following selection criteria will be applied to the tenderers. </w:t>
      </w:r>
    </w:p>
    <w:p w14:paraId="32591562" w14:textId="68257DF7" w:rsidR="00DC5C45" w:rsidRPr="00C93030" w:rsidRDefault="00B31CB4" w:rsidP="006F085A">
      <w:pPr>
        <w:pStyle w:val="Blockquote"/>
        <w:numPr>
          <w:ilvl w:val="0"/>
          <w:numId w:val="16"/>
        </w:numPr>
        <w:spacing w:before="0" w:after="120"/>
        <w:jc w:val="both"/>
        <w:rPr>
          <w:rFonts w:asciiTheme="minorHAnsi" w:hAnsiTheme="minorHAnsi" w:cstheme="minorHAnsi"/>
          <w:b/>
          <w:szCs w:val="24"/>
          <w:u w:val="single"/>
          <w:lang w:val="en-GB"/>
        </w:rPr>
      </w:pPr>
      <w:r w:rsidRPr="00C93030">
        <w:rPr>
          <w:rFonts w:asciiTheme="minorHAnsi" w:hAnsiTheme="minorHAnsi" w:cstheme="minorHAnsi"/>
          <w:b/>
          <w:szCs w:val="24"/>
          <w:u w:val="single"/>
          <w:lang w:val="en-GB"/>
        </w:rPr>
        <w:t>Qualifications and skills</w:t>
      </w:r>
    </w:p>
    <w:p w14:paraId="65BC0109" w14:textId="18FAD9ED" w:rsidR="00DC5C45" w:rsidRPr="00C93030" w:rsidRDefault="00FA64CC" w:rsidP="006F085A">
      <w:pPr>
        <w:pStyle w:val="Blockquote"/>
        <w:numPr>
          <w:ilvl w:val="0"/>
          <w:numId w:val="17"/>
        </w:numPr>
        <w:spacing w:before="0" w:after="120"/>
        <w:jc w:val="both"/>
        <w:rPr>
          <w:rFonts w:asciiTheme="minorHAnsi" w:hAnsiTheme="minorHAnsi" w:cstheme="minorHAnsi"/>
          <w:szCs w:val="24"/>
          <w:lang w:val="en-GB"/>
        </w:rPr>
      </w:pPr>
      <w:r w:rsidRPr="00C93030">
        <w:rPr>
          <w:rFonts w:asciiTheme="minorHAnsi" w:hAnsiTheme="minorHAnsi" w:cstheme="minorHAnsi"/>
          <w:szCs w:val="24"/>
          <w:lang w:val="en-GB"/>
        </w:rPr>
        <w:t xml:space="preserve">Bachelor’s degree </w:t>
      </w:r>
      <w:r w:rsidR="00DC5C45" w:rsidRPr="00C93030">
        <w:rPr>
          <w:rFonts w:asciiTheme="minorHAnsi" w:hAnsiTheme="minorHAnsi" w:cstheme="minorHAnsi"/>
          <w:szCs w:val="24"/>
          <w:lang w:val="en-GB"/>
        </w:rPr>
        <w:t>in the field of economics</w:t>
      </w:r>
      <w:r w:rsidRPr="00C93030">
        <w:rPr>
          <w:rFonts w:asciiTheme="minorHAnsi" w:hAnsiTheme="minorHAnsi" w:cstheme="minorHAnsi"/>
          <w:szCs w:val="24"/>
          <w:lang w:val="en-GB"/>
        </w:rPr>
        <w:t>, higher degrees are advantage</w:t>
      </w:r>
    </w:p>
    <w:p w14:paraId="0CEEDB44" w14:textId="6AA2289B" w:rsidR="00DC5C45" w:rsidRPr="00C93030" w:rsidRDefault="00DC5C45" w:rsidP="006F085A">
      <w:pPr>
        <w:pStyle w:val="Blockquote"/>
        <w:numPr>
          <w:ilvl w:val="0"/>
          <w:numId w:val="17"/>
        </w:numPr>
        <w:spacing w:before="0" w:after="120"/>
        <w:jc w:val="both"/>
        <w:rPr>
          <w:rFonts w:asciiTheme="minorHAnsi" w:hAnsiTheme="minorHAnsi" w:cstheme="minorHAnsi"/>
          <w:szCs w:val="24"/>
          <w:lang w:val="en-GB"/>
        </w:rPr>
      </w:pPr>
      <w:r w:rsidRPr="00C93030">
        <w:rPr>
          <w:rFonts w:asciiTheme="minorHAnsi" w:hAnsiTheme="minorHAnsi" w:cstheme="minorHAnsi"/>
          <w:szCs w:val="24"/>
          <w:lang w:val="en-GB"/>
        </w:rPr>
        <w:t>Formal or informal training in the field of taxes</w:t>
      </w:r>
      <w:r w:rsidR="00F23F82" w:rsidRPr="00C93030">
        <w:rPr>
          <w:rFonts w:asciiTheme="minorHAnsi" w:hAnsiTheme="minorHAnsi" w:cstheme="minorHAnsi"/>
          <w:szCs w:val="24"/>
          <w:lang w:val="en-GB"/>
        </w:rPr>
        <w:t>, financial standards</w:t>
      </w:r>
      <w:r w:rsidRPr="00C93030">
        <w:rPr>
          <w:rFonts w:asciiTheme="minorHAnsi" w:hAnsiTheme="minorHAnsi" w:cstheme="minorHAnsi"/>
          <w:szCs w:val="24"/>
          <w:lang w:val="en-GB"/>
        </w:rPr>
        <w:t xml:space="preserve"> and/or para-fiscal charges</w:t>
      </w:r>
    </w:p>
    <w:p w14:paraId="20095B5D" w14:textId="633EC63B" w:rsidR="007C0B2B" w:rsidRPr="00C93030" w:rsidRDefault="00DC5C45" w:rsidP="006F085A">
      <w:pPr>
        <w:pStyle w:val="Blockquote"/>
        <w:spacing w:before="0" w:after="120"/>
        <w:ind w:right="357" w:hanging="3"/>
        <w:jc w:val="both"/>
        <w:rPr>
          <w:rFonts w:asciiTheme="minorHAnsi" w:hAnsiTheme="minorHAnsi" w:cstheme="minorHAnsi"/>
          <w:szCs w:val="24"/>
          <w:lang w:val="en-GB"/>
        </w:rPr>
      </w:pPr>
      <w:r w:rsidRPr="00C93030">
        <w:rPr>
          <w:rFonts w:asciiTheme="minorHAnsi" w:hAnsiTheme="minorHAnsi" w:cstheme="minorHAnsi"/>
          <w:szCs w:val="24"/>
          <w:lang w:val="en-GB"/>
        </w:rPr>
        <w:t>2</w:t>
      </w:r>
      <w:r w:rsidR="007C0B2B" w:rsidRPr="00C93030">
        <w:rPr>
          <w:rFonts w:asciiTheme="minorHAnsi" w:hAnsiTheme="minorHAnsi" w:cstheme="minorHAnsi"/>
          <w:szCs w:val="24"/>
          <w:lang w:val="en-GB"/>
        </w:rPr>
        <w:t>)</w:t>
      </w:r>
      <w:r w:rsidR="007C0B2B" w:rsidRPr="00C93030">
        <w:rPr>
          <w:rFonts w:asciiTheme="minorHAnsi" w:hAnsiTheme="minorHAnsi" w:cstheme="minorHAnsi"/>
          <w:szCs w:val="24"/>
          <w:lang w:val="en-GB"/>
        </w:rPr>
        <w:tab/>
      </w:r>
      <w:r w:rsidR="00B31CB4" w:rsidRPr="00C93030">
        <w:rPr>
          <w:rFonts w:asciiTheme="minorHAnsi" w:hAnsiTheme="minorHAnsi" w:cstheme="minorHAnsi"/>
          <w:b/>
          <w:szCs w:val="24"/>
          <w:u w:val="single"/>
          <w:lang w:val="en-GB"/>
        </w:rPr>
        <w:t>General professional experience</w:t>
      </w:r>
      <w:r w:rsidR="007C0B2B" w:rsidRPr="00C93030">
        <w:rPr>
          <w:rFonts w:asciiTheme="minorHAnsi" w:hAnsiTheme="minorHAnsi" w:cstheme="minorHAnsi"/>
          <w:b/>
          <w:szCs w:val="24"/>
          <w:u w:val="single"/>
          <w:lang w:val="en-GB"/>
        </w:rPr>
        <w:t xml:space="preserve"> of the tenderer</w:t>
      </w:r>
      <w:r w:rsidR="007C0B2B" w:rsidRPr="00C93030">
        <w:rPr>
          <w:rFonts w:asciiTheme="minorHAnsi" w:hAnsiTheme="minorHAnsi" w:cstheme="minorHAnsi"/>
          <w:szCs w:val="24"/>
          <w:lang w:val="en-GB"/>
        </w:rPr>
        <w:t xml:space="preserve"> </w:t>
      </w:r>
    </w:p>
    <w:p w14:paraId="626A0B46" w14:textId="3967856A" w:rsidR="00DC5C45" w:rsidRPr="00C93030" w:rsidRDefault="00DC5C45" w:rsidP="006F085A">
      <w:pPr>
        <w:pStyle w:val="Blockquote"/>
        <w:numPr>
          <w:ilvl w:val="0"/>
          <w:numId w:val="17"/>
        </w:numPr>
        <w:spacing w:before="0" w:after="120"/>
        <w:jc w:val="both"/>
        <w:rPr>
          <w:rFonts w:asciiTheme="minorHAnsi" w:hAnsiTheme="minorHAnsi" w:cstheme="minorHAnsi"/>
          <w:szCs w:val="24"/>
          <w:lang w:val="en-GB"/>
        </w:rPr>
      </w:pPr>
      <w:r w:rsidRPr="00C93030">
        <w:rPr>
          <w:rFonts w:asciiTheme="minorHAnsi" w:hAnsiTheme="minorHAnsi" w:cstheme="minorHAnsi"/>
          <w:szCs w:val="24"/>
          <w:lang w:val="en-GB"/>
        </w:rPr>
        <w:t xml:space="preserve">At least </w:t>
      </w:r>
      <w:r w:rsidR="00F23F82" w:rsidRPr="00C93030">
        <w:rPr>
          <w:rFonts w:asciiTheme="minorHAnsi" w:hAnsiTheme="minorHAnsi" w:cstheme="minorHAnsi"/>
          <w:szCs w:val="24"/>
          <w:lang w:val="en-GB"/>
        </w:rPr>
        <w:t>10</w:t>
      </w:r>
      <w:r w:rsidRPr="00C93030">
        <w:rPr>
          <w:rFonts w:asciiTheme="minorHAnsi" w:hAnsiTheme="minorHAnsi" w:cstheme="minorHAnsi"/>
          <w:szCs w:val="24"/>
          <w:lang w:val="en-GB"/>
        </w:rPr>
        <w:t xml:space="preserve"> (</w:t>
      </w:r>
      <w:r w:rsidR="00F23F82" w:rsidRPr="00C93030">
        <w:rPr>
          <w:rFonts w:asciiTheme="minorHAnsi" w:hAnsiTheme="minorHAnsi" w:cstheme="minorHAnsi"/>
          <w:szCs w:val="24"/>
          <w:lang w:val="en-GB"/>
        </w:rPr>
        <w:t>ten</w:t>
      </w:r>
      <w:r w:rsidRPr="00C93030">
        <w:rPr>
          <w:rFonts w:asciiTheme="minorHAnsi" w:hAnsiTheme="minorHAnsi" w:cstheme="minorHAnsi"/>
          <w:szCs w:val="24"/>
          <w:lang w:val="en-GB"/>
        </w:rPr>
        <w:t>) years working experiences in the fields related to this contract.</w:t>
      </w:r>
    </w:p>
    <w:p w14:paraId="2F03CCA1" w14:textId="5474DEAE" w:rsidR="006361BC" w:rsidRPr="00C93030" w:rsidRDefault="00A75969" w:rsidP="006F085A">
      <w:pPr>
        <w:pStyle w:val="Blockquote"/>
        <w:numPr>
          <w:ilvl w:val="0"/>
          <w:numId w:val="17"/>
        </w:numPr>
        <w:spacing w:before="0" w:after="120"/>
        <w:jc w:val="both"/>
        <w:rPr>
          <w:rFonts w:asciiTheme="minorHAnsi" w:hAnsiTheme="minorHAnsi" w:cstheme="minorHAnsi"/>
          <w:szCs w:val="24"/>
          <w:lang w:val="en-GB"/>
        </w:rPr>
      </w:pPr>
      <w:r w:rsidRPr="00C93030">
        <w:rPr>
          <w:rFonts w:asciiTheme="minorHAnsi" w:hAnsiTheme="minorHAnsi" w:cstheme="minorHAnsi"/>
          <w:szCs w:val="24"/>
          <w:lang w:val="en-GB"/>
        </w:rPr>
        <w:t xml:space="preserve">the tenderer </w:t>
      </w:r>
      <w:r w:rsidR="006361BC" w:rsidRPr="00C93030">
        <w:rPr>
          <w:rFonts w:asciiTheme="minorHAnsi" w:hAnsiTheme="minorHAnsi" w:cstheme="minorHAnsi"/>
          <w:szCs w:val="24"/>
          <w:lang w:val="en-GB"/>
        </w:rPr>
        <w:t xml:space="preserve">is currently working/has worked during the past 3 years with </w:t>
      </w:r>
      <w:r w:rsidR="00DC5C45" w:rsidRPr="00C93030">
        <w:rPr>
          <w:rFonts w:asciiTheme="minorHAnsi" w:hAnsiTheme="minorHAnsi" w:cstheme="minorHAnsi"/>
          <w:szCs w:val="24"/>
          <w:lang w:val="en-GB"/>
        </w:rPr>
        <w:t xml:space="preserve">at least two </w:t>
      </w:r>
      <w:r w:rsidR="006361BC" w:rsidRPr="00C93030">
        <w:rPr>
          <w:rFonts w:asciiTheme="minorHAnsi" w:hAnsiTheme="minorHAnsi" w:cstheme="minorHAnsi"/>
          <w:szCs w:val="24"/>
          <w:lang w:val="en-GB"/>
        </w:rPr>
        <w:t xml:space="preserve">collaborators in fields </w:t>
      </w:r>
      <w:r w:rsidR="00F23F82" w:rsidRPr="00C93030">
        <w:rPr>
          <w:rFonts w:asciiTheme="minorHAnsi" w:hAnsiTheme="minorHAnsi" w:cstheme="minorHAnsi"/>
          <w:szCs w:val="24"/>
          <w:lang w:val="en-GB"/>
        </w:rPr>
        <w:t xml:space="preserve">(tax, finance, tax regulation, budgeting, </w:t>
      </w:r>
      <w:proofErr w:type="spellStart"/>
      <w:r w:rsidR="00F23F82" w:rsidRPr="00C93030">
        <w:rPr>
          <w:rFonts w:asciiTheme="minorHAnsi" w:hAnsiTheme="minorHAnsi" w:cstheme="minorHAnsi"/>
          <w:szCs w:val="24"/>
          <w:lang w:val="en-GB"/>
        </w:rPr>
        <w:t>etc</w:t>
      </w:r>
      <w:proofErr w:type="spellEnd"/>
      <w:r w:rsidR="00F23F82" w:rsidRPr="00C93030">
        <w:rPr>
          <w:rFonts w:asciiTheme="minorHAnsi" w:hAnsiTheme="minorHAnsi" w:cstheme="minorHAnsi"/>
          <w:szCs w:val="24"/>
          <w:lang w:val="en-GB"/>
        </w:rPr>
        <w:t xml:space="preserve">) </w:t>
      </w:r>
      <w:r w:rsidR="006361BC" w:rsidRPr="00C93030">
        <w:rPr>
          <w:rFonts w:asciiTheme="minorHAnsi" w:hAnsiTheme="minorHAnsi" w:cstheme="minorHAnsi"/>
          <w:szCs w:val="24"/>
          <w:lang w:val="en-GB"/>
        </w:rPr>
        <w:t>related to this contract.</w:t>
      </w:r>
    </w:p>
    <w:p w14:paraId="54A4166A" w14:textId="1AFF8800" w:rsidR="007C0B2B" w:rsidRPr="00C93030" w:rsidRDefault="00B31CB4" w:rsidP="00B31CB4">
      <w:pPr>
        <w:pStyle w:val="Blockquote"/>
        <w:numPr>
          <w:ilvl w:val="0"/>
          <w:numId w:val="19"/>
        </w:numPr>
        <w:spacing w:before="0" w:after="120"/>
        <w:jc w:val="both"/>
        <w:rPr>
          <w:rFonts w:asciiTheme="minorHAnsi" w:hAnsiTheme="minorHAnsi" w:cstheme="minorHAnsi"/>
          <w:b/>
          <w:szCs w:val="24"/>
          <w:lang w:val="en-GB"/>
        </w:rPr>
      </w:pPr>
      <w:r w:rsidRPr="00C93030">
        <w:rPr>
          <w:rFonts w:asciiTheme="minorHAnsi" w:hAnsiTheme="minorHAnsi" w:cstheme="minorHAnsi"/>
          <w:b/>
          <w:szCs w:val="24"/>
          <w:lang w:val="en-GB"/>
        </w:rPr>
        <w:t>Specific professional experience of the tenderer</w:t>
      </w:r>
    </w:p>
    <w:p w14:paraId="008C21F6" w14:textId="428C749B" w:rsidR="00B31CB4" w:rsidRPr="00C93030" w:rsidRDefault="002260AE" w:rsidP="00F23F82">
      <w:pPr>
        <w:pStyle w:val="Blockquote"/>
        <w:numPr>
          <w:ilvl w:val="0"/>
          <w:numId w:val="17"/>
        </w:numPr>
        <w:spacing w:before="0" w:after="120"/>
        <w:jc w:val="both"/>
        <w:rPr>
          <w:rFonts w:asciiTheme="minorHAnsi" w:hAnsiTheme="minorHAnsi" w:cstheme="minorHAnsi"/>
          <w:szCs w:val="24"/>
          <w:lang w:val="en-GB"/>
        </w:rPr>
      </w:pPr>
      <w:r w:rsidRPr="00C93030">
        <w:rPr>
          <w:rFonts w:asciiTheme="minorHAnsi" w:hAnsiTheme="minorHAnsi" w:cstheme="minorHAnsi"/>
          <w:szCs w:val="24"/>
          <w:lang w:val="en-GB"/>
        </w:rPr>
        <w:t>Experience</w:t>
      </w:r>
      <w:r w:rsidR="00F23F82" w:rsidRPr="00C93030">
        <w:rPr>
          <w:rFonts w:asciiTheme="minorHAnsi" w:hAnsiTheme="minorHAnsi" w:cstheme="minorHAnsi"/>
          <w:szCs w:val="24"/>
          <w:lang w:val="en-GB"/>
        </w:rPr>
        <w:t xml:space="preserve"> for preparing questionnaire and regulation review</w:t>
      </w:r>
    </w:p>
    <w:p w14:paraId="0449294E" w14:textId="1D54CCDA" w:rsidR="00F23F82" w:rsidRPr="00C93030" w:rsidRDefault="002260AE" w:rsidP="00F23F82">
      <w:pPr>
        <w:pStyle w:val="Blockquote"/>
        <w:numPr>
          <w:ilvl w:val="0"/>
          <w:numId w:val="17"/>
        </w:numPr>
        <w:spacing w:before="0" w:after="120"/>
        <w:jc w:val="both"/>
        <w:rPr>
          <w:rFonts w:asciiTheme="minorHAnsi" w:hAnsiTheme="minorHAnsi" w:cstheme="minorHAnsi"/>
          <w:szCs w:val="24"/>
          <w:lang w:val="en-GB"/>
        </w:rPr>
      </w:pPr>
      <w:r w:rsidRPr="00C93030">
        <w:rPr>
          <w:rFonts w:asciiTheme="minorHAnsi" w:hAnsiTheme="minorHAnsi" w:cstheme="minorHAnsi"/>
          <w:szCs w:val="24"/>
          <w:lang w:val="en-GB"/>
        </w:rPr>
        <w:t>Experience</w:t>
      </w:r>
      <w:r w:rsidR="00F23F82" w:rsidRPr="00C93030">
        <w:rPr>
          <w:rFonts w:asciiTheme="minorHAnsi" w:hAnsiTheme="minorHAnsi" w:cstheme="minorHAnsi"/>
          <w:szCs w:val="24"/>
          <w:lang w:val="en-GB"/>
        </w:rPr>
        <w:t xml:space="preserve"> for tailored approach (applying rules/criteria at individual client</w:t>
      </w:r>
      <w:r w:rsidR="005E3B41" w:rsidRPr="00C93030">
        <w:rPr>
          <w:rFonts w:asciiTheme="minorHAnsi" w:hAnsiTheme="minorHAnsi" w:cstheme="minorHAnsi"/>
          <w:szCs w:val="24"/>
          <w:lang w:val="en-GB"/>
        </w:rPr>
        <w:t>, case and/or municipality</w:t>
      </w:r>
      <w:r w:rsidR="00F23F82" w:rsidRPr="00C93030">
        <w:rPr>
          <w:rFonts w:asciiTheme="minorHAnsi" w:hAnsiTheme="minorHAnsi" w:cstheme="minorHAnsi"/>
          <w:szCs w:val="24"/>
          <w:lang w:val="en-GB"/>
        </w:rPr>
        <w:t xml:space="preserve"> requirements)</w:t>
      </w:r>
    </w:p>
    <w:p w14:paraId="477728AC" w14:textId="1B3A58E3" w:rsidR="007C0B2B" w:rsidRPr="006F085A" w:rsidRDefault="007C0B2B" w:rsidP="006F085A">
      <w:pPr>
        <w:pStyle w:val="Blockquote"/>
        <w:spacing w:before="0" w:after="120"/>
        <w:jc w:val="both"/>
        <w:rPr>
          <w:rFonts w:asciiTheme="minorHAnsi" w:hAnsiTheme="minorHAnsi" w:cstheme="minorHAnsi"/>
          <w:szCs w:val="24"/>
          <w:lang w:val="en-GB"/>
        </w:rPr>
      </w:pPr>
      <w:r w:rsidRPr="006F085A">
        <w:rPr>
          <w:rFonts w:asciiTheme="minorHAnsi" w:hAnsiTheme="minorHAnsi" w:cstheme="minorHAnsi"/>
          <w:szCs w:val="24"/>
          <w:lang w:val="en-GB"/>
        </w:rPr>
        <w:t>Previous experience which would have led to breach of contract and termination by a contracting authority shall not be used as reference. This is also applicable concerning the previous experience of experts required under a fee-based service contract.</w:t>
      </w:r>
    </w:p>
    <w:p w14:paraId="416017D7" w14:textId="77777777" w:rsidR="007C0B2B" w:rsidRPr="006F085A" w:rsidRDefault="007C0B2B" w:rsidP="006F085A">
      <w:pPr>
        <w:spacing w:after="120"/>
        <w:ind w:left="709" w:hanging="349"/>
        <w:outlineLvl w:val="0"/>
        <w:rPr>
          <w:rFonts w:asciiTheme="minorHAnsi" w:hAnsiTheme="minorHAnsi" w:cstheme="minorHAnsi"/>
          <w:sz w:val="24"/>
          <w:szCs w:val="24"/>
        </w:rPr>
      </w:pPr>
      <w:r w:rsidRPr="006F085A">
        <w:rPr>
          <w:rStyle w:val="Strong"/>
          <w:rFonts w:asciiTheme="minorHAnsi" w:hAnsiTheme="minorHAnsi" w:cstheme="minorHAnsi"/>
          <w:sz w:val="24"/>
          <w:szCs w:val="24"/>
        </w:rPr>
        <w:t>17. Award criteria</w:t>
      </w:r>
    </w:p>
    <w:p w14:paraId="1E7F6647" w14:textId="77777777" w:rsidR="007C0B2B" w:rsidRPr="006F085A" w:rsidRDefault="007C0B2B" w:rsidP="006F085A">
      <w:pPr>
        <w:pStyle w:val="Blockquote"/>
        <w:spacing w:before="0" w:after="120"/>
        <w:jc w:val="both"/>
        <w:rPr>
          <w:rFonts w:asciiTheme="minorHAnsi" w:hAnsiTheme="minorHAnsi" w:cstheme="minorHAnsi"/>
          <w:szCs w:val="24"/>
          <w:lang w:val="en-GB"/>
        </w:rPr>
      </w:pPr>
      <w:r w:rsidRPr="006F085A">
        <w:rPr>
          <w:rFonts w:asciiTheme="minorHAnsi" w:hAnsiTheme="minorHAnsi" w:cstheme="minorHAnsi"/>
          <w:szCs w:val="24"/>
          <w:lang w:val="en-GB"/>
        </w:rPr>
        <w:t>Best price-quality ratio.</w:t>
      </w:r>
    </w:p>
    <w:p w14:paraId="4C266C80" w14:textId="77777777" w:rsidR="006361BC" w:rsidRPr="00004F73" w:rsidRDefault="006361BC" w:rsidP="007C0B2B">
      <w:pPr>
        <w:pStyle w:val="Blockquote"/>
        <w:jc w:val="both"/>
        <w:rPr>
          <w:rFonts w:ascii="Calibri" w:hAnsi="Calibri" w:cs="Calibri"/>
          <w:szCs w:val="24"/>
          <w:lang w:val="en-GB"/>
        </w:rPr>
      </w:pPr>
    </w:p>
    <w:p w14:paraId="18837D19" w14:textId="77777777" w:rsidR="007C0B2B" w:rsidRDefault="007C0B2B" w:rsidP="007C0B2B">
      <w:pPr>
        <w:keepNext/>
        <w:jc w:val="center"/>
        <w:rPr>
          <w:rStyle w:val="Strong"/>
          <w:sz w:val="28"/>
          <w:szCs w:val="28"/>
        </w:rPr>
      </w:pPr>
      <w:r w:rsidRPr="00B33EE6">
        <w:rPr>
          <w:rStyle w:val="Strong"/>
          <w:sz w:val="28"/>
          <w:szCs w:val="28"/>
        </w:rPr>
        <w:lastRenderedPageBreak/>
        <w:t>TENDERING</w:t>
      </w:r>
    </w:p>
    <w:p w14:paraId="791D5186" w14:textId="77777777" w:rsidR="006361BC" w:rsidRPr="00B33EE6" w:rsidRDefault="006361BC" w:rsidP="007C0B2B">
      <w:pPr>
        <w:keepNext/>
        <w:jc w:val="center"/>
        <w:rPr>
          <w:sz w:val="28"/>
          <w:szCs w:val="28"/>
        </w:rPr>
      </w:pPr>
    </w:p>
    <w:p w14:paraId="0762F09E" w14:textId="77777777" w:rsidR="007C0B2B" w:rsidRPr="006F085A" w:rsidRDefault="007C0B2B" w:rsidP="006F085A">
      <w:pPr>
        <w:keepNext/>
        <w:spacing w:after="120"/>
        <w:ind w:left="709" w:hanging="352"/>
        <w:jc w:val="both"/>
        <w:outlineLvl w:val="0"/>
        <w:rPr>
          <w:rFonts w:asciiTheme="minorHAnsi" w:hAnsiTheme="minorHAnsi" w:cstheme="minorHAnsi"/>
          <w:sz w:val="24"/>
          <w:szCs w:val="24"/>
        </w:rPr>
      </w:pPr>
      <w:r w:rsidRPr="006F085A">
        <w:rPr>
          <w:rStyle w:val="Strong"/>
          <w:rFonts w:asciiTheme="minorHAnsi" w:hAnsiTheme="minorHAnsi" w:cstheme="minorHAnsi"/>
          <w:sz w:val="24"/>
          <w:szCs w:val="24"/>
        </w:rPr>
        <w:t xml:space="preserve">18. </w:t>
      </w:r>
      <w:r w:rsidRPr="006F085A">
        <w:rPr>
          <w:rStyle w:val="Strong"/>
          <w:rFonts w:asciiTheme="minorHAnsi" w:hAnsiTheme="minorHAnsi" w:cstheme="minorHAnsi"/>
          <w:sz w:val="24"/>
          <w:szCs w:val="24"/>
        </w:rPr>
        <w:tab/>
        <w:t>Deadline for submission of tenders</w:t>
      </w:r>
    </w:p>
    <w:p w14:paraId="79B58A47" w14:textId="77777777" w:rsidR="007C0B2B" w:rsidRPr="006F085A" w:rsidRDefault="007C0B2B" w:rsidP="006F085A">
      <w:pPr>
        <w:pStyle w:val="Blockquote"/>
        <w:spacing w:before="0" w:after="120"/>
        <w:jc w:val="both"/>
        <w:rPr>
          <w:rStyle w:val="Emphasis"/>
          <w:rFonts w:asciiTheme="minorHAnsi" w:hAnsiTheme="minorHAnsi" w:cstheme="minorHAnsi"/>
          <w:i w:val="0"/>
          <w:szCs w:val="24"/>
          <w:highlight w:val="yellow"/>
          <w:lang w:val="en-GB"/>
        </w:rPr>
      </w:pPr>
      <w:r w:rsidRPr="006F085A">
        <w:rPr>
          <w:rStyle w:val="Emphasis"/>
          <w:rFonts w:asciiTheme="minorHAnsi" w:hAnsiTheme="minorHAnsi" w:cstheme="minorHAnsi"/>
          <w:i w:val="0"/>
          <w:szCs w:val="24"/>
          <w:lang w:val="en-GB"/>
        </w:rPr>
        <w:t>The deadline for submission of tenders is specified in point 8 of the instruction to tenderers.</w:t>
      </w:r>
      <w:r w:rsidRPr="006F085A" w:rsidDel="00994EA3">
        <w:rPr>
          <w:rStyle w:val="Emphasis"/>
          <w:rFonts w:asciiTheme="minorHAnsi" w:hAnsiTheme="minorHAnsi" w:cstheme="minorHAnsi"/>
          <w:i w:val="0"/>
          <w:szCs w:val="24"/>
          <w:highlight w:val="yellow"/>
          <w:lang w:val="en-GB"/>
        </w:rPr>
        <w:t xml:space="preserve">  </w:t>
      </w:r>
    </w:p>
    <w:p w14:paraId="4486BE6D" w14:textId="77777777" w:rsidR="007C0B2B" w:rsidRPr="006F085A" w:rsidRDefault="007C0B2B" w:rsidP="006F085A">
      <w:pPr>
        <w:pStyle w:val="Blockquote"/>
        <w:spacing w:before="0" w:after="120"/>
        <w:jc w:val="both"/>
        <w:rPr>
          <w:rFonts w:asciiTheme="minorHAnsi" w:hAnsiTheme="minorHAnsi" w:cstheme="minorHAnsi"/>
          <w:i/>
          <w:szCs w:val="24"/>
          <w:lang w:val="en-GB"/>
        </w:rPr>
      </w:pPr>
      <w:r w:rsidRPr="006F085A" w:rsidDel="00994EA3">
        <w:rPr>
          <w:rStyle w:val="Emphasis"/>
          <w:rFonts w:asciiTheme="minorHAnsi" w:hAnsiTheme="minorHAnsi" w:cstheme="minorHAnsi"/>
          <w:i w:val="0"/>
          <w:szCs w:val="24"/>
          <w:highlight w:val="yellow"/>
          <w:lang w:val="en-GB"/>
        </w:rPr>
        <w:t xml:space="preserve">  </w:t>
      </w:r>
    </w:p>
    <w:p w14:paraId="00444686" w14:textId="77777777" w:rsidR="007C0B2B" w:rsidRPr="006F085A" w:rsidRDefault="007C0B2B" w:rsidP="006F085A">
      <w:pPr>
        <w:spacing w:after="120"/>
        <w:ind w:left="709" w:hanging="349"/>
        <w:jc w:val="both"/>
        <w:outlineLvl w:val="0"/>
        <w:rPr>
          <w:rFonts w:asciiTheme="minorHAnsi" w:hAnsiTheme="minorHAnsi" w:cstheme="minorHAnsi"/>
          <w:sz w:val="24"/>
          <w:szCs w:val="24"/>
        </w:rPr>
      </w:pPr>
      <w:r w:rsidRPr="006F085A">
        <w:rPr>
          <w:rStyle w:val="Strong"/>
          <w:rFonts w:asciiTheme="minorHAnsi" w:hAnsiTheme="minorHAnsi" w:cstheme="minorHAnsi"/>
          <w:sz w:val="24"/>
          <w:szCs w:val="24"/>
        </w:rPr>
        <w:t>19. Tender format and details to be provided</w:t>
      </w:r>
    </w:p>
    <w:p w14:paraId="56523DDF" w14:textId="77777777" w:rsidR="007C0B2B" w:rsidRPr="006F085A" w:rsidRDefault="007C0B2B" w:rsidP="006F085A">
      <w:pPr>
        <w:pStyle w:val="Blockquote"/>
        <w:spacing w:before="0" w:after="120"/>
        <w:jc w:val="both"/>
        <w:rPr>
          <w:rFonts w:asciiTheme="minorHAnsi" w:hAnsiTheme="minorHAnsi" w:cstheme="minorHAnsi"/>
          <w:szCs w:val="24"/>
          <w:lang w:val="en-GB"/>
        </w:rPr>
      </w:pPr>
      <w:r w:rsidRPr="006F085A">
        <w:rPr>
          <w:rStyle w:val="Strong"/>
          <w:rFonts w:asciiTheme="minorHAnsi" w:hAnsiTheme="minorHAnsi" w:cstheme="minorHAnsi"/>
          <w:szCs w:val="24"/>
          <w:lang w:val="en-GB"/>
        </w:rPr>
        <w:t>Tenders must be submitted using the standard tender form</w:t>
      </w:r>
      <w:r w:rsidRPr="006F085A">
        <w:rPr>
          <w:rFonts w:asciiTheme="minorHAnsi" w:hAnsiTheme="minorHAnsi" w:cstheme="minorHAnsi"/>
          <w:szCs w:val="24"/>
          <w:lang w:val="en-GB"/>
        </w:rPr>
        <w:t xml:space="preserve"> for simplified procedures, the format and instructions of which must be strictly observed. The tender form is available from the following internet address: </w:t>
      </w:r>
      <w:hyperlink r:id="rId8" w:history="1">
        <w:r w:rsidRPr="006F085A">
          <w:rPr>
            <w:rStyle w:val="Hyperlink"/>
            <w:rFonts w:asciiTheme="minorHAnsi" w:eastAsia="Calibri" w:hAnsiTheme="minorHAnsi" w:cstheme="minorHAnsi"/>
            <w:szCs w:val="24"/>
          </w:rPr>
          <w:t>http://ec.europa.eu/europeaid/prag/annexes.do?group=B</w:t>
        </w:r>
      </w:hyperlink>
      <w:r w:rsidRPr="006F085A">
        <w:rPr>
          <w:rFonts w:asciiTheme="minorHAnsi" w:hAnsiTheme="minorHAnsi" w:cstheme="minorHAnsi"/>
          <w:szCs w:val="24"/>
          <w:lang w:val="en-GB"/>
        </w:rPr>
        <w:t xml:space="preserve"> , under the zip file called Simplified Tender dossier. </w:t>
      </w:r>
    </w:p>
    <w:p w14:paraId="2C1C80E3" w14:textId="77777777" w:rsidR="007C0B2B" w:rsidRPr="006F085A" w:rsidRDefault="007C0B2B" w:rsidP="006F085A">
      <w:pPr>
        <w:pStyle w:val="Blockquote"/>
        <w:spacing w:before="0" w:after="120"/>
        <w:jc w:val="both"/>
        <w:rPr>
          <w:rFonts w:asciiTheme="minorHAnsi" w:hAnsiTheme="minorHAnsi" w:cstheme="minorHAnsi"/>
          <w:szCs w:val="24"/>
          <w:lang w:val="en-GB"/>
        </w:rPr>
      </w:pPr>
      <w:r w:rsidRPr="006F085A">
        <w:rPr>
          <w:rFonts w:asciiTheme="minorHAnsi" w:hAnsiTheme="minorHAnsi" w:cstheme="minorHAnsi"/>
          <w:szCs w:val="24"/>
          <w:lang w:val="en-GB"/>
        </w:rPr>
        <w:t>The tender must be accompanied by a declaration on honour on exclusion and selection criteria using the template available from the following Internet address:</w:t>
      </w:r>
    </w:p>
    <w:p w14:paraId="5C894367" w14:textId="77777777" w:rsidR="007C0B2B" w:rsidRPr="006F085A" w:rsidRDefault="00D4121D" w:rsidP="006F085A">
      <w:pPr>
        <w:pStyle w:val="Blockquote"/>
        <w:spacing w:before="0" w:after="120"/>
        <w:jc w:val="both"/>
        <w:rPr>
          <w:rFonts w:asciiTheme="minorHAnsi" w:hAnsiTheme="minorHAnsi" w:cstheme="minorHAnsi"/>
          <w:szCs w:val="24"/>
          <w:lang w:val="en-GB"/>
        </w:rPr>
      </w:pPr>
      <w:hyperlink r:id="rId9" w:history="1">
        <w:r w:rsidR="007C0B2B" w:rsidRPr="006F085A">
          <w:rPr>
            <w:rStyle w:val="Hyperlink"/>
            <w:rFonts w:asciiTheme="minorHAnsi" w:eastAsia="Calibri" w:hAnsiTheme="minorHAnsi" w:cstheme="minorHAnsi"/>
            <w:szCs w:val="24"/>
          </w:rPr>
          <w:t>http://ec.europa.eu/europeaid/prag/annexes.do?chapterTitleCode=A</w:t>
        </w:r>
      </w:hyperlink>
      <w:r w:rsidR="007C0B2B" w:rsidRPr="006F085A">
        <w:rPr>
          <w:rFonts w:asciiTheme="minorHAnsi" w:hAnsiTheme="minorHAnsi" w:cstheme="minorHAnsi"/>
          <w:szCs w:val="24"/>
          <w:lang w:val="en-GB"/>
        </w:rPr>
        <w:t xml:space="preserve"> </w:t>
      </w:r>
    </w:p>
    <w:p w14:paraId="18EBB670" w14:textId="77777777" w:rsidR="007C0B2B" w:rsidRPr="006F085A" w:rsidRDefault="007C0B2B" w:rsidP="006F085A">
      <w:pPr>
        <w:pStyle w:val="Blockquote"/>
        <w:spacing w:before="0" w:after="120"/>
        <w:jc w:val="both"/>
        <w:rPr>
          <w:rFonts w:asciiTheme="minorHAnsi" w:hAnsiTheme="minorHAnsi" w:cstheme="minorHAnsi"/>
          <w:szCs w:val="24"/>
          <w:lang w:val="en-GB"/>
        </w:rPr>
      </w:pPr>
      <w:r w:rsidRPr="006F085A">
        <w:rPr>
          <w:rFonts w:asciiTheme="minorHAnsi" w:hAnsiTheme="minorHAnsi" w:cstheme="minorHAnsi"/>
          <w:szCs w:val="24"/>
          <w:lang w:val="en-GB"/>
        </w:rPr>
        <w:t>Any additional documentation (brochure, letter, etc.) sent with a tender will not be taken into consideration.</w:t>
      </w:r>
    </w:p>
    <w:p w14:paraId="25C2AF5F" w14:textId="77777777" w:rsidR="007C0B2B" w:rsidRPr="006F085A" w:rsidRDefault="007C0B2B" w:rsidP="006F085A">
      <w:pPr>
        <w:pStyle w:val="Blockquote"/>
        <w:spacing w:before="0" w:after="120"/>
        <w:jc w:val="both"/>
        <w:rPr>
          <w:rFonts w:asciiTheme="minorHAnsi" w:hAnsiTheme="minorHAnsi" w:cstheme="minorHAnsi"/>
          <w:szCs w:val="24"/>
          <w:lang w:val="en-GB"/>
        </w:rPr>
      </w:pPr>
    </w:p>
    <w:p w14:paraId="38CE8A55" w14:textId="77777777" w:rsidR="007C0B2B" w:rsidRPr="006F085A" w:rsidRDefault="007C0B2B" w:rsidP="006F085A">
      <w:pPr>
        <w:spacing w:after="120"/>
        <w:ind w:left="709" w:hanging="349"/>
        <w:jc w:val="both"/>
        <w:outlineLvl w:val="0"/>
        <w:rPr>
          <w:rFonts w:asciiTheme="minorHAnsi" w:hAnsiTheme="minorHAnsi" w:cstheme="minorHAnsi"/>
          <w:sz w:val="24"/>
          <w:szCs w:val="24"/>
        </w:rPr>
      </w:pPr>
      <w:r w:rsidRPr="006F085A">
        <w:rPr>
          <w:rStyle w:val="Strong"/>
          <w:rFonts w:asciiTheme="minorHAnsi" w:hAnsiTheme="minorHAnsi" w:cstheme="minorHAnsi"/>
          <w:sz w:val="24"/>
          <w:szCs w:val="24"/>
        </w:rPr>
        <w:t>20. How tenders may be submitted</w:t>
      </w:r>
    </w:p>
    <w:p w14:paraId="669DA8E8" w14:textId="77777777" w:rsidR="007C0B2B" w:rsidRPr="006F085A" w:rsidRDefault="007C0B2B" w:rsidP="006F085A">
      <w:pPr>
        <w:pStyle w:val="Blockquote"/>
        <w:spacing w:before="0" w:after="120"/>
        <w:jc w:val="both"/>
        <w:rPr>
          <w:rFonts w:asciiTheme="minorHAnsi" w:hAnsiTheme="minorHAnsi" w:cstheme="minorHAnsi"/>
          <w:szCs w:val="24"/>
          <w:lang w:val="en-GB"/>
        </w:rPr>
      </w:pPr>
      <w:r w:rsidRPr="006F085A">
        <w:rPr>
          <w:rFonts w:asciiTheme="minorHAnsi" w:hAnsiTheme="minorHAnsi" w:cstheme="minorHAnsi"/>
          <w:szCs w:val="24"/>
          <w:lang w:val="en-GB"/>
        </w:rPr>
        <w:t xml:space="preserve">Tenders must be submitted in English exclusively to the contracting authority, using the means specified in point 8 of the instructions to tenderers.  </w:t>
      </w:r>
    </w:p>
    <w:p w14:paraId="4965B7CE" w14:textId="77777777" w:rsidR="007C0B2B" w:rsidRPr="006F085A" w:rsidRDefault="007C0B2B" w:rsidP="006F085A">
      <w:pPr>
        <w:pStyle w:val="Blockquote"/>
        <w:spacing w:before="0" w:after="120"/>
        <w:jc w:val="both"/>
        <w:rPr>
          <w:rStyle w:val="Strong"/>
          <w:rFonts w:asciiTheme="minorHAnsi" w:hAnsiTheme="minorHAnsi" w:cstheme="minorHAnsi"/>
          <w:b w:val="0"/>
          <w:szCs w:val="24"/>
          <w:lang w:val="en-GB"/>
        </w:rPr>
      </w:pPr>
      <w:r w:rsidRPr="006F085A">
        <w:rPr>
          <w:rStyle w:val="Strong"/>
          <w:rFonts w:asciiTheme="minorHAnsi" w:hAnsiTheme="minorHAnsi" w:cstheme="minorHAnsi"/>
          <w:szCs w:val="24"/>
          <w:lang w:val="en-GB"/>
        </w:rPr>
        <w:t>Tenders submitted by any other means will not be considered.</w:t>
      </w:r>
    </w:p>
    <w:p w14:paraId="5E492669" w14:textId="77777777" w:rsidR="007C0B2B" w:rsidRPr="006F085A" w:rsidRDefault="007C0B2B" w:rsidP="006F085A">
      <w:pPr>
        <w:pStyle w:val="Blockquote"/>
        <w:spacing w:before="0" w:after="120"/>
        <w:jc w:val="both"/>
        <w:rPr>
          <w:rFonts w:asciiTheme="minorHAnsi" w:hAnsiTheme="minorHAnsi" w:cstheme="minorHAnsi"/>
          <w:szCs w:val="24"/>
          <w:lang w:val="en-GB"/>
        </w:rPr>
      </w:pPr>
      <w:r w:rsidRPr="006F085A">
        <w:rPr>
          <w:rFonts w:asciiTheme="minorHAnsi" w:hAnsiTheme="minorHAnsi" w:cstheme="minorHAnsi"/>
          <w:szCs w:val="24"/>
          <w:lang w:val="en-GB"/>
        </w:rPr>
        <w:t>By submitting a tender tenderers accept to receive notification of the outcome of the procedure by electronic means.</w:t>
      </w:r>
    </w:p>
    <w:p w14:paraId="37537C69" w14:textId="77777777" w:rsidR="007C0B2B" w:rsidRPr="006F085A" w:rsidRDefault="007C0B2B" w:rsidP="006F085A">
      <w:pPr>
        <w:pStyle w:val="Blockquote"/>
        <w:spacing w:before="0" w:after="120"/>
        <w:jc w:val="both"/>
        <w:rPr>
          <w:rStyle w:val="Strong"/>
          <w:rFonts w:asciiTheme="minorHAnsi" w:hAnsiTheme="minorHAnsi" w:cstheme="minorHAnsi"/>
          <w:b w:val="0"/>
          <w:szCs w:val="24"/>
          <w:lang w:val="en-GB"/>
        </w:rPr>
      </w:pPr>
    </w:p>
    <w:p w14:paraId="18D8A210" w14:textId="77777777" w:rsidR="007C0B2B" w:rsidRPr="006F085A" w:rsidRDefault="007C0B2B" w:rsidP="006F085A">
      <w:pPr>
        <w:spacing w:after="120"/>
        <w:ind w:left="709" w:hanging="349"/>
        <w:jc w:val="both"/>
        <w:outlineLvl w:val="0"/>
        <w:rPr>
          <w:rFonts w:asciiTheme="minorHAnsi" w:hAnsiTheme="minorHAnsi" w:cstheme="minorHAnsi"/>
          <w:b/>
          <w:sz w:val="24"/>
          <w:szCs w:val="24"/>
        </w:rPr>
      </w:pPr>
      <w:r w:rsidRPr="006F085A">
        <w:rPr>
          <w:rStyle w:val="Strong"/>
          <w:rFonts w:asciiTheme="minorHAnsi" w:hAnsiTheme="minorHAnsi" w:cstheme="minorHAnsi"/>
          <w:sz w:val="24"/>
          <w:szCs w:val="24"/>
        </w:rPr>
        <w:t>21.</w:t>
      </w:r>
      <w:r w:rsidRPr="006F085A">
        <w:rPr>
          <w:rStyle w:val="Strong"/>
          <w:rFonts w:asciiTheme="minorHAnsi" w:hAnsiTheme="minorHAnsi" w:cstheme="minorHAnsi"/>
          <w:sz w:val="24"/>
          <w:szCs w:val="24"/>
        </w:rPr>
        <w:tab/>
        <w:t>Alteration or withdrawal of tenders</w:t>
      </w:r>
    </w:p>
    <w:p w14:paraId="49CDF217" w14:textId="77777777" w:rsidR="007C0B2B" w:rsidRPr="006F085A" w:rsidRDefault="007C0B2B" w:rsidP="006F085A">
      <w:pPr>
        <w:pStyle w:val="Blockquote"/>
        <w:spacing w:before="0" w:after="120"/>
        <w:jc w:val="both"/>
        <w:rPr>
          <w:rFonts w:asciiTheme="minorHAnsi" w:hAnsiTheme="minorHAnsi" w:cstheme="minorHAnsi"/>
          <w:szCs w:val="24"/>
          <w:lang w:val="en-GB"/>
        </w:rPr>
      </w:pPr>
      <w:r w:rsidRPr="006F085A">
        <w:rPr>
          <w:rFonts w:asciiTheme="minorHAnsi" w:hAnsiTheme="minorHAnsi" w:cstheme="minorHAnsi"/>
          <w:szCs w:val="24"/>
          <w:lang w:val="en-GB"/>
        </w:rPr>
        <w:t>Tenderers may alter or withdraw their tenders by written notification prior to the deadline for submission of tenders. No tender may be altered after this deadline.</w:t>
      </w:r>
    </w:p>
    <w:p w14:paraId="7CCD319F" w14:textId="77777777" w:rsidR="007C0B2B" w:rsidRPr="006F085A" w:rsidRDefault="007C0B2B" w:rsidP="006F085A">
      <w:pPr>
        <w:pStyle w:val="Blockquote"/>
        <w:spacing w:before="0" w:after="120"/>
        <w:jc w:val="both"/>
        <w:rPr>
          <w:rFonts w:asciiTheme="minorHAnsi" w:hAnsiTheme="minorHAnsi" w:cstheme="minorHAnsi"/>
          <w:szCs w:val="24"/>
          <w:lang w:val="en-GB"/>
        </w:rPr>
      </w:pPr>
      <w:r w:rsidRPr="006F085A">
        <w:rPr>
          <w:rFonts w:asciiTheme="minorHAnsi" w:hAnsiTheme="minorHAnsi" w:cstheme="minorHAnsi"/>
          <w:szCs w:val="24"/>
          <w:lang w:val="en-GB"/>
        </w:rPr>
        <w:t>Any such notification of alteration or withdrawal shall be prepared and submitted in accordance with point 9 of the instructions to tenderers. The outer envelope (and the relevant inner envelope if used) must be marked ‘Alteration’ or ‘Withdrawal’ as appropriate.</w:t>
      </w:r>
    </w:p>
    <w:p w14:paraId="66F595B9" w14:textId="77777777" w:rsidR="007C0B2B" w:rsidRPr="006F085A" w:rsidRDefault="007C0B2B" w:rsidP="006F085A">
      <w:pPr>
        <w:pStyle w:val="Blockquote"/>
        <w:spacing w:before="0" w:after="120"/>
        <w:jc w:val="both"/>
        <w:rPr>
          <w:rFonts w:asciiTheme="minorHAnsi" w:hAnsiTheme="minorHAnsi" w:cstheme="minorHAnsi"/>
          <w:szCs w:val="24"/>
          <w:lang w:val="en-GB"/>
        </w:rPr>
      </w:pPr>
    </w:p>
    <w:p w14:paraId="767DC8E0" w14:textId="77777777" w:rsidR="007C0B2B" w:rsidRPr="006F085A" w:rsidRDefault="007C0B2B" w:rsidP="006F085A">
      <w:pPr>
        <w:keepNext/>
        <w:spacing w:after="120"/>
        <w:ind w:left="709" w:hanging="352"/>
        <w:jc w:val="both"/>
        <w:outlineLvl w:val="0"/>
        <w:rPr>
          <w:rFonts w:asciiTheme="minorHAnsi" w:hAnsiTheme="minorHAnsi" w:cstheme="minorHAnsi"/>
          <w:sz w:val="24"/>
          <w:szCs w:val="24"/>
        </w:rPr>
      </w:pPr>
      <w:r w:rsidRPr="006F085A">
        <w:rPr>
          <w:rStyle w:val="Strong"/>
          <w:rFonts w:asciiTheme="minorHAnsi" w:hAnsiTheme="minorHAnsi" w:cstheme="minorHAnsi"/>
          <w:sz w:val="24"/>
          <w:szCs w:val="24"/>
        </w:rPr>
        <w:t xml:space="preserve">22. </w:t>
      </w:r>
      <w:r w:rsidRPr="006F085A">
        <w:rPr>
          <w:rStyle w:val="Strong"/>
          <w:rFonts w:asciiTheme="minorHAnsi" w:hAnsiTheme="minorHAnsi" w:cstheme="minorHAnsi"/>
          <w:sz w:val="24"/>
          <w:szCs w:val="24"/>
        </w:rPr>
        <w:tab/>
        <w:t>Operational language</w:t>
      </w:r>
    </w:p>
    <w:p w14:paraId="52901E14" w14:textId="276075C9" w:rsidR="007C0B2B" w:rsidRPr="006F085A" w:rsidRDefault="007C0B2B" w:rsidP="006F085A">
      <w:pPr>
        <w:pStyle w:val="Blockquote"/>
        <w:spacing w:before="0" w:after="120"/>
        <w:jc w:val="both"/>
        <w:rPr>
          <w:rStyle w:val="Emphasis"/>
          <w:rFonts w:asciiTheme="minorHAnsi" w:hAnsiTheme="minorHAnsi" w:cstheme="minorHAnsi"/>
          <w:i w:val="0"/>
          <w:szCs w:val="24"/>
          <w:lang w:val="en-GB"/>
        </w:rPr>
      </w:pPr>
      <w:r w:rsidRPr="006F085A">
        <w:rPr>
          <w:rStyle w:val="Emphasis"/>
          <w:rFonts w:asciiTheme="minorHAnsi" w:hAnsiTheme="minorHAnsi" w:cstheme="minorHAnsi"/>
          <w:i w:val="0"/>
          <w:szCs w:val="24"/>
          <w:lang w:val="en-GB"/>
        </w:rPr>
        <w:t>All written communications for this tender procedure an</w:t>
      </w:r>
      <w:r w:rsidR="006F085A" w:rsidRPr="006F085A">
        <w:rPr>
          <w:rStyle w:val="Emphasis"/>
          <w:rFonts w:asciiTheme="minorHAnsi" w:hAnsiTheme="minorHAnsi" w:cstheme="minorHAnsi"/>
          <w:i w:val="0"/>
          <w:szCs w:val="24"/>
          <w:lang w:val="en-GB"/>
        </w:rPr>
        <w:t>d contract must be in English or Macedonian language.</w:t>
      </w:r>
    </w:p>
    <w:p w14:paraId="7DDEC3E6" w14:textId="77777777" w:rsidR="007C0B2B" w:rsidRPr="006F085A" w:rsidRDefault="007C0B2B" w:rsidP="006F085A">
      <w:pPr>
        <w:pStyle w:val="Blockquote"/>
        <w:spacing w:before="0" w:after="120"/>
        <w:jc w:val="both"/>
        <w:rPr>
          <w:rFonts w:asciiTheme="minorHAnsi" w:hAnsiTheme="minorHAnsi" w:cstheme="minorHAnsi"/>
          <w:i/>
          <w:szCs w:val="24"/>
          <w:lang w:val="en-GB"/>
        </w:rPr>
      </w:pPr>
    </w:p>
    <w:p w14:paraId="660E3834" w14:textId="77777777" w:rsidR="007C0B2B" w:rsidRPr="006F085A" w:rsidRDefault="007C0B2B" w:rsidP="006F085A">
      <w:pPr>
        <w:spacing w:after="120"/>
        <w:ind w:left="709" w:hanging="349"/>
        <w:jc w:val="both"/>
        <w:outlineLvl w:val="0"/>
        <w:rPr>
          <w:rStyle w:val="Strong"/>
          <w:rFonts w:asciiTheme="minorHAnsi" w:hAnsiTheme="minorHAnsi" w:cstheme="minorHAnsi"/>
          <w:sz w:val="24"/>
          <w:szCs w:val="24"/>
        </w:rPr>
      </w:pPr>
      <w:r w:rsidRPr="006F085A">
        <w:rPr>
          <w:rStyle w:val="Strong"/>
          <w:rFonts w:asciiTheme="minorHAnsi" w:hAnsiTheme="minorHAnsi" w:cstheme="minorHAnsi"/>
          <w:sz w:val="24"/>
          <w:szCs w:val="24"/>
        </w:rPr>
        <w:lastRenderedPageBreak/>
        <w:t>23. Legal basis</w:t>
      </w:r>
    </w:p>
    <w:p w14:paraId="4A8F013A" w14:textId="77777777" w:rsidR="007C0B2B" w:rsidRPr="006F085A" w:rsidRDefault="007C0B2B" w:rsidP="006F085A">
      <w:pPr>
        <w:pStyle w:val="Blockquote"/>
        <w:spacing w:before="0" w:after="120"/>
        <w:ind w:left="426" w:right="310"/>
        <w:jc w:val="both"/>
        <w:rPr>
          <w:rFonts w:asciiTheme="minorHAnsi" w:hAnsiTheme="minorHAnsi" w:cstheme="minorHAnsi"/>
          <w:szCs w:val="24"/>
          <w:lang w:val="en-GB" w:eastAsia="ja-JP"/>
        </w:rPr>
      </w:pPr>
      <w:r w:rsidRPr="006F085A">
        <w:rPr>
          <w:rFonts w:asciiTheme="minorHAnsi" w:hAnsiTheme="minorHAnsi" w:cstheme="minorHAnsi"/>
          <w:szCs w:val="24"/>
          <w:lang w:val="en-GB"/>
        </w:rPr>
        <w:t>Regulation</w:t>
      </w:r>
      <w:r w:rsidRPr="006F085A">
        <w:rPr>
          <w:rFonts w:asciiTheme="minorHAnsi" w:hAnsiTheme="minorHAnsi" w:cstheme="minorHAnsi"/>
          <w:b/>
          <w:bCs/>
          <w:szCs w:val="24"/>
          <w:lang w:val="en-GB"/>
        </w:rPr>
        <w:t xml:space="preserve"> </w:t>
      </w:r>
      <w:r w:rsidRPr="006F085A">
        <w:rPr>
          <w:rFonts w:asciiTheme="minorHAnsi" w:hAnsiTheme="minorHAnsi" w:cstheme="minorHAnsi"/>
          <w:szCs w:val="24"/>
          <w:lang w:val="en-GB"/>
        </w:rPr>
        <w:t>(EU) No </w:t>
      </w:r>
      <w:r w:rsidRPr="006F085A">
        <w:rPr>
          <w:rFonts w:asciiTheme="minorHAnsi" w:hAnsiTheme="minorHAnsi" w:cstheme="minorHAnsi"/>
          <w:szCs w:val="24"/>
          <w:lang w:val="en-GB" w:eastAsia="ja-JP"/>
        </w:rPr>
        <w:t>236/2014 of the European Parliament and of the Council of 11 March 2014 laying down common rules and procedures for the implementation of the Union's instruments for financing external action and</w:t>
      </w:r>
      <w:r w:rsidRPr="006F085A">
        <w:rPr>
          <w:rFonts w:asciiTheme="minorHAnsi" w:hAnsiTheme="minorHAnsi" w:cstheme="minorHAnsi"/>
          <w:szCs w:val="24"/>
        </w:rPr>
        <w:t xml:space="preserve"> </w:t>
      </w:r>
      <w:r w:rsidRPr="006F085A">
        <w:rPr>
          <w:rFonts w:asciiTheme="minorHAnsi" w:hAnsiTheme="minorHAnsi" w:cstheme="minorHAnsi"/>
          <w:szCs w:val="24"/>
          <w:lang w:val="en-GB" w:eastAsia="ja-JP"/>
        </w:rPr>
        <w:t xml:space="preserve">Regulation (EU) N231/2014 of the European Parliament and of the Council of </w:t>
      </w:r>
      <w:proofErr w:type="gramStart"/>
      <w:r w:rsidRPr="006F085A">
        <w:rPr>
          <w:rFonts w:asciiTheme="minorHAnsi" w:hAnsiTheme="minorHAnsi" w:cstheme="minorHAnsi"/>
          <w:szCs w:val="24"/>
          <w:lang w:val="en-GB" w:eastAsia="ja-JP"/>
        </w:rPr>
        <w:t>11  March</w:t>
      </w:r>
      <w:proofErr w:type="gramEnd"/>
      <w:r w:rsidRPr="006F085A">
        <w:rPr>
          <w:rFonts w:asciiTheme="minorHAnsi" w:hAnsiTheme="minorHAnsi" w:cstheme="minorHAnsi"/>
          <w:szCs w:val="24"/>
          <w:lang w:val="en-GB" w:eastAsia="ja-JP"/>
        </w:rPr>
        <w:t xml:space="preserve"> 2014 establishing  an Instrument for Pre-accession Assistance (IPA II), (OJ L 77, 15 March 2014).</w:t>
      </w:r>
    </w:p>
    <w:p w14:paraId="6B2EDBD8" w14:textId="77777777" w:rsidR="007C0B2B" w:rsidRPr="006F085A" w:rsidRDefault="007C0B2B" w:rsidP="006F085A">
      <w:pPr>
        <w:pStyle w:val="Blockquote"/>
        <w:spacing w:before="0" w:after="120"/>
        <w:ind w:left="426" w:right="310"/>
        <w:jc w:val="both"/>
        <w:rPr>
          <w:rFonts w:asciiTheme="minorHAnsi" w:hAnsiTheme="minorHAnsi" w:cstheme="minorHAnsi"/>
          <w:szCs w:val="24"/>
          <w:lang w:val="en-GB"/>
        </w:rPr>
      </w:pPr>
    </w:p>
    <w:p w14:paraId="7FB4DC22" w14:textId="77777777" w:rsidR="007C0B2B" w:rsidRPr="006F085A" w:rsidRDefault="007C0B2B" w:rsidP="006F085A">
      <w:pPr>
        <w:pStyle w:val="Blockquote"/>
        <w:spacing w:before="0" w:after="120"/>
        <w:jc w:val="both"/>
        <w:rPr>
          <w:rFonts w:asciiTheme="minorHAnsi" w:hAnsiTheme="minorHAnsi" w:cstheme="minorHAnsi"/>
          <w:b/>
          <w:szCs w:val="24"/>
          <w:lang w:val="en-GB"/>
        </w:rPr>
      </w:pPr>
      <w:r w:rsidRPr="006F085A">
        <w:rPr>
          <w:rFonts w:asciiTheme="minorHAnsi" w:hAnsiTheme="minorHAnsi" w:cstheme="minorHAnsi"/>
          <w:b/>
          <w:szCs w:val="24"/>
          <w:lang w:val="en-GB"/>
        </w:rPr>
        <w:t>24. Additional information</w:t>
      </w:r>
    </w:p>
    <w:p w14:paraId="586E0F7E" w14:textId="419DB94F" w:rsidR="007C0B2B" w:rsidRPr="00004F73" w:rsidRDefault="007C0B2B" w:rsidP="006F085A">
      <w:pPr>
        <w:snapToGrid w:val="0"/>
        <w:spacing w:after="120"/>
        <w:ind w:left="360" w:right="360"/>
        <w:jc w:val="both"/>
        <w:rPr>
          <w:rFonts w:ascii="Calibri" w:hAnsi="Calibri" w:cs="Calibri"/>
          <w:sz w:val="24"/>
          <w:szCs w:val="24"/>
        </w:rPr>
      </w:pPr>
      <w:r w:rsidRPr="006F085A">
        <w:rPr>
          <w:rFonts w:asciiTheme="minorHAnsi" w:hAnsiTheme="minorHAnsi" w:cstheme="minorHAnsi"/>
          <w:sz w:val="24"/>
          <w:szCs w:val="24"/>
        </w:rPr>
        <w:t>Financial data to be provided by the candidate in</w:t>
      </w:r>
      <w:r w:rsidR="006F085A" w:rsidRPr="006F085A">
        <w:rPr>
          <w:rFonts w:asciiTheme="minorHAnsi" w:hAnsiTheme="minorHAnsi" w:cstheme="minorHAnsi"/>
          <w:sz w:val="24"/>
          <w:szCs w:val="24"/>
        </w:rPr>
        <w:t xml:space="preserve"> the standard application form </w:t>
      </w:r>
      <w:r w:rsidRPr="006F085A">
        <w:rPr>
          <w:rFonts w:asciiTheme="minorHAnsi" w:hAnsiTheme="minorHAnsi" w:cstheme="minorHAnsi"/>
          <w:sz w:val="24"/>
          <w:szCs w:val="24"/>
        </w:rPr>
        <w:t xml:space="preserve">must be expressed in EUR. If applicable, where a candidate refers to amounts originally expressed in a different currency, the conversion to EUR shall be made in accordance with the </w:t>
      </w:r>
      <w:proofErr w:type="spellStart"/>
      <w:r w:rsidRPr="006F085A">
        <w:rPr>
          <w:rFonts w:asciiTheme="minorHAnsi" w:hAnsiTheme="minorHAnsi" w:cstheme="minorHAnsi"/>
          <w:sz w:val="24"/>
          <w:szCs w:val="24"/>
        </w:rPr>
        <w:t>InforEuro</w:t>
      </w:r>
      <w:proofErr w:type="spellEnd"/>
      <w:r w:rsidRPr="006F085A">
        <w:rPr>
          <w:rFonts w:asciiTheme="minorHAnsi" w:hAnsiTheme="minorHAnsi" w:cstheme="minorHAnsi"/>
          <w:sz w:val="24"/>
          <w:szCs w:val="24"/>
        </w:rPr>
        <w:t xml:space="preserve"> exchange rate of 04.2021, which can be found at the following address: </w:t>
      </w:r>
      <w:hyperlink r:id="rId10" w:history="1">
        <w:r w:rsidRPr="006F085A">
          <w:rPr>
            <w:rStyle w:val="Hyperlink"/>
            <w:rFonts w:asciiTheme="minorHAnsi" w:hAnsiTheme="minorHAnsi" w:cstheme="minorHAnsi"/>
            <w:sz w:val="24"/>
            <w:szCs w:val="24"/>
          </w:rPr>
          <w:t>http://ec.europa.eu/budget/graphs/inforeuro.html</w:t>
        </w:r>
      </w:hyperlink>
      <w:r w:rsidRPr="00004F73">
        <w:rPr>
          <w:rFonts w:ascii="Calibri" w:hAnsi="Calibri" w:cs="Calibri"/>
          <w:sz w:val="24"/>
          <w:szCs w:val="24"/>
        </w:rPr>
        <w:t>.</w:t>
      </w:r>
    </w:p>
    <w:p w14:paraId="47A097E4" w14:textId="77777777" w:rsidR="007C0B2B" w:rsidRPr="00004F73" w:rsidRDefault="007C0B2B" w:rsidP="007C0B2B">
      <w:pPr>
        <w:pStyle w:val="Subtitle"/>
        <w:spacing w:after="240"/>
        <w:jc w:val="left"/>
        <w:rPr>
          <w:rFonts w:ascii="Calibri" w:hAnsi="Calibri" w:cs="Calibri"/>
          <w:sz w:val="24"/>
          <w:szCs w:val="24"/>
          <w:lang w:val="en-GB"/>
        </w:rPr>
      </w:pPr>
    </w:p>
    <w:p w14:paraId="76EFD7A6" w14:textId="77777777" w:rsidR="007C0B2B" w:rsidRPr="00004F73" w:rsidRDefault="007C0B2B">
      <w:pPr>
        <w:pStyle w:val="Subtitle"/>
        <w:spacing w:after="240"/>
        <w:rPr>
          <w:rFonts w:ascii="Calibri" w:hAnsi="Calibri" w:cs="Calibri"/>
          <w:sz w:val="24"/>
          <w:szCs w:val="24"/>
          <w:lang w:val="en-GB"/>
        </w:rPr>
      </w:pPr>
    </w:p>
    <w:p w14:paraId="6A30E2A1" w14:textId="77777777" w:rsidR="007C0B2B" w:rsidRDefault="007C0B2B">
      <w:pPr>
        <w:pStyle w:val="Subtitle"/>
        <w:spacing w:after="240"/>
        <w:rPr>
          <w:lang w:val="en-GB"/>
        </w:rPr>
      </w:pPr>
    </w:p>
    <w:p w14:paraId="707326E8" w14:textId="77777777" w:rsidR="007C0B2B" w:rsidRDefault="007C0B2B">
      <w:pPr>
        <w:pStyle w:val="Subtitle"/>
        <w:spacing w:after="240"/>
        <w:rPr>
          <w:lang w:val="en-GB"/>
        </w:rPr>
      </w:pPr>
    </w:p>
    <w:p w14:paraId="0CA88C1E" w14:textId="77777777" w:rsidR="007C0B2B" w:rsidRDefault="007C0B2B">
      <w:pPr>
        <w:pStyle w:val="Subtitle"/>
        <w:spacing w:after="240"/>
        <w:rPr>
          <w:lang w:val="en-GB"/>
        </w:rPr>
      </w:pPr>
    </w:p>
    <w:p w14:paraId="55681509" w14:textId="77777777" w:rsidR="007C0B2B" w:rsidRDefault="007C0B2B" w:rsidP="00B8278B">
      <w:pPr>
        <w:pStyle w:val="Subtitle"/>
        <w:spacing w:after="240"/>
        <w:jc w:val="left"/>
        <w:rPr>
          <w:lang w:val="en-GB"/>
        </w:rPr>
      </w:pPr>
    </w:p>
    <w:p w14:paraId="38E6D9BE" w14:textId="77777777" w:rsidR="00B8278B" w:rsidRDefault="00B8278B" w:rsidP="00B8278B">
      <w:pPr>
        <w:pStyle w:val="Subtitle"/>
        <w:spacing w:after="240"/>
        <w:jc w:val="left"/>
        <w:rPr>
          <w:lang w:val="en-GB"/>
        </w:rPr>
      </w:pPr>
    </w:p>
    <w:p w14:paraId="76443157" w14:textId="77777777" w:rsidR="008A0496" w:rsidRDefault="008A0496" w:rsidP="008A0496">
      <w:pPr>
        <w:pStyle w:val="Subtitle"/>
        <w:spacing w:after="240"/>
        <w:jc w:val="left"/>
        <w:rPr>
          <w:lang w:val="en-GB"/>
        </w:rPr>
        <w:sectPr w:rsidR="008A0496" w:rsidSect="003C5CBF">
          <w:footerReference w:type="even" r:id="rId11"/>
          <w:footerReference w:type="default" r:id="rId12"/>
          <w:headerReference w:type="first" r:id="rId13"/>
          <w:footerReference w:type="first" r:id="rId14"/>
          <w:pgSz w:w="11906" w:h="16838"/>
          <w:pgMar w:top="1440" w:right="1800" w:bottom="1440" w:left="1800" w:header="720" w:footer="720" w:gutter="0"/>
          <w:cols w:space="720"/>
          <w:docGrid w:linePitch="272"/>
        </w:sectPr>
      </w:pPr>
    </w:p>
    <w:p w14:paraId="218928A2" w14:textId="47EE8C18" w:rsidR="003436FE" w:rsidRPr="002B370E" w:rsidRDefault="003436FE" w:rsidP="008A0496">
      <w:pPr>
        <w:pStyle w:val="Subtitle"/>
        <w:spacing w:after="240"/>
        <w:rPr>
          <w:lang w:val="en-GB"/>
        </w:rPr>
      </w:pPr>
      <w:r w:rsidRPr="002B370E">
        <w:rPr>
          <w:lang w:val="en-GB"/>
        </w:rPr>
        <w:lastRenderedPageBreak/>
        <w:t xml:space="preserve">PUBLICATION REFERENCE: </w:t>
      </w:r>
      <w:r w:rsidR="00A21F31">
        <w:rPr>
          <w:lang w:val="en-GB"/>
        </w:rPr>
        <w:t>03-162</w:t>
      </w:r>
      <w:r w:rsidR="00F97932" w:rsidRPr="00F97932">
        <w:rPr>
          <w:lang w:val="en-GB"/>
        </w:rPr>
        <w:t>/01 IPA/2020/ 420-727/02</w:t>
      </w:r>
      <w:bookmarkStart w:id="1" w:name="_GoBack"/>
      <w:bookmarkEnd w:id="1"/>
    </w:p>
    <w:p w14:paraId="25E8A53F"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691825EB"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002B2ACE">
        <w:rPr>
          <w:sz w:val="22"/>
          <w:szCs w:val="22"/>
          <w:lang w:val="en-GB"/>
        </w:rPr>
        <w:t xml:space="preserve"> and</w:t>
      </w:r>
      <w:r w:rsidRPr="002B370E">
        <w:rPr>
          <w:sz w:val="22"/>
          <w:szCs w:val="22"/>
          <w:lang w:val="en-GB"/>
        </w:rPr>
        <w:t xml:space="preserve"> selectin</w:t>
      </w:r>
      <w:r>
        <w:rPr>
          <w:sz w:val="22"/>
          <w:szCs w:val="22"/>
          <w:lang w:val="en-GB"/>
        </w:rPr>
        <w:t>g</w:t>
      </w:r>
      <w:r w:rsidRPr="002B370E">
        <w:rPr>
          <w:sz w:val="22"/>
          <w:szCs w:val="22"/>
          <w:lang w:val="en-GB"/>
        </w:rPr>
        <w:t xml:space="preserve"> </w:t>
      </w:r>
      <w:r w:rsidR="002B2ACE">
        <w:rPr>
          <w:sz w:val="22"/>
          <w:szCs w:val="22"/>
          <w:lang w:val="en-GB"/>
        </w:rPr>
        <w:t>tenders. They apply to</w:t>
      </w:r>
      <w:r w:rsidRPr="002B370E">
        <w:rPr>
          <w:sz w:val="22"/>
          <w:szCs w:val="22"/>
          <w:lang w:val="en-GB"/>
        </w:rPr>
        <w:t xml:space="preserve"> this call for tenders, in conformity with the </w:t>
      </w:r>
      <w:r w:rsidR="00CD78C3">
        <w:rPr>
          <w:sz w:val="22"/>
          <w:szCs w:val="22"/>
          <w:lang w:val="en-GB"/>
        </w:rPr>
        <w:t>p</w:t>
      </w:r>
      <w:r w:rsidRPr="002B370E">
        <w:rPr>
          <w:sz w:val="22"/>
          <w:szCs w:val="22"/>
          <w:lang w:val="en-GB"/>
        </w:rPr>
        <w:t xml:space="preserve">ractical </w:t>
      </w:r>
      <w:r w:rsidR="00CD78C3">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5" w:history="1">
        <w:r w:rsidR="006D6595" w:rsidRPr="00A03F33">
          <w:rPr>
            <w:rStyle w:val="Hyperlink"/>
            <w:sz w:val="22"/>
            <w:szCs w:val="22"/>
            <w:lang w:val="en-GB"/>
          </w:rPr>
          <w:t>http://ec.europa.eu/europeaid/prag/document.do</w:t>
        </w:r>
      </w:hyperlink>
      <w:r w:rsidRPr="002B370E">
        <w:rPr>
          <w:sz w:val="22"/>
          <w:szCs w:val="22"/>
          <w:lang w:val="en-GB"/>
        </w:rPr>
        <w:t xml:space="preserve">). </w:t>
      </w:r>
    </w:p>
    <w:p w14:paraId="15AF65BC" w14:textId="77777777" w:rsidR="003436FE" w:rsidRPr="002B370E" w:rsidRDefault="003436FE" w:rsidP="00FE3D7D">
      <w:pPr>
        <w:keepNext/>
        <w:numPr>
          <w:ilvl w:val="0"/>
          <w:numId w:val="4"/>
        </w:numPr>
        <w:spacing w:before="120" w:after="120"/>
        <w:jc w:val="both"/>
        <w:rPr>
          <w:b/>
          <w:sz w:val="24"/>
          <w:szCs w:val="24"/>
        </w:rPr>
      </w:pPr>
      <w:r w:rsidRPr="002B370E">
        <w:rPr>
          <w:b/>
          <w:sz w:val="24"/>
          <w:szCs w:val="24"/>
        </w:rPr>
        <w:t>Services to be provided</w:t>
      </w:r>
    </w:p>
    <w:p w14:paraId="04DE8B3B" w14:textId="77777777" w:rsidR="003436FE" w:rsidRPr="002B370E" w:rsidRDefault="003436FE">
      <w:pPr>
        <w:spacing w:after="120"/>
        <w:jc w:val="both"/>
        <w:rPr>
          <w:sz w:val="22"/>
          <w:szCs w:val="22"/>
        </w:rPr>
      </w:pPr>
      <w:r w:rsidRPr="002B370E">
        <w:rPr>
          <w:sz w:val="22"/>
          <w:szCs w:val="22"/>
        </w:rPr>
        <w:t xml:space="preserve">The services required by the </w:t>
      </w:r>
      <w:r w:rsidR="00CD78C3">
        <w:rPr>
          <w:sz w:val="22"/>
          <w:szCs w:val="22"/>
        </w:rPr>
        <w:t>c</w:t>
      </w:r>
      <w:r w:rsidRPr="002B370E">
        <w:rPr>
          <w:sz w:val="22"/>
          <w:szCs w:val="22"/>
        </w:rPr>
        <w:t xml:space="preserve">ontracting </w:t>
      </w:r>
      <w:r w:rsidR="00CD78C3">
        <w:rPr>
          <w:sz w:val="22"/>
          <w:szCs w:val="22"/>
        </w:rPr>
        <w:t>a</w:t>
      </w:r>
      <w:r w:rsidRPr="002B370E">
        <w:rPr>
          <w:sz w:val="22"/>
          <w:szCs w:val="22"/>
        </w:rPr>
        <w:t xml:space="preserve">uthority are described in the </w:t>
      </w:r>
      <w:r w:rsidR="006D6595">
        <w:rPr>
          <w:sz w:val="22"/>
          <w:szCs w:val="22"/>
        </w:rPr>
        <w:t>t</w:t>
      </w:r>
      <w:r w:rsidRPr="002B370E">
        <w:rPr>
          <w:sz w:val="22"/>
          <w:szCs w:val="22"/>
        </w:rPr>
        <w:t xml:space="preserve">erms of </w:t>
      </w:r>
      <w:r w:rsidR="006D6595">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6890172B" w14:textId="77777777" w:rsidR="003436FE" w:rsidRPr="002B370E" w:rsidRDefault="003436FE" w:rsidP="00FE3D7D">
      <w:pPr>
        <w:keepNext/>
        <w:numPr>
          <w:ilvl w:val="0"/>
          <w:numId w:val="4"/>
        </w:numPr>
        <w:spacing w:before="120" w:after="120"/>
        <w:jc w:val="both"/>
        <w:rPr>
          <w:b/>
          <w:sz w:val="24"/>
          <w:szCs w:val="24"/>
        </w:rPr>
      </w:pPr>
      <w:bookmarkStart w:id="2" w:name="_Ref499723935"/>
      <w:r w:rsidRPr="002B370E">
        <w:rPr>
          <w:b/>
          <w:sz w:val="24"/>
          <w:szCs w:val="24"/>
        </w:rPr>
        <w:t>Timetable</w:t>
      </w:r>
      <w:bookmarkEnd w:id="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10C3CD0D" w14:textId="77777777" w:rsidTr="00010683">
        <w:tc>
          <w:tcPr>
            <w:tcW w:w="4820" w:type="dxa"/>
            <w:tcBorders>
              <w:bottom w:val="nil"/>
            </w:tcBorders>
          </w:tcPr>
          <w:p w14:paraId="7AD5CA6C" w14:textId="77777777" w:rsidR="003436FE" w:rsidRPr="002B370E" w:rsidRDefault="003436FE">
            <w:pPr>
              <w:rPr>
                <w:sz w:val="22"/>
                <w:szCs w:val="22"/>
              </w:rPr>
            </w:pPr>
          </w:p>
        </w:tc>
        <w:tc>
          <w:tcPr>
            <w:tcW w:w="1972" w:type="dxa"/>
            <w:shd w:val="pct10" w:color="auto" w:fill="FFFFFF"/>
          </w:tcPr>
          <w:p w14:paraId="76C39076"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4789E931" w14:textId="77777777" w:rsidR="003436FE" w:rsidRPr="002B370E" w:rsidRDefault="003436FE">
            <w:pPr>
              <w:jc w:val="center"/>
              <w:rPr>
                <w:b/>
                <w:sz w:val="22"/>
                <w:szCs w:val="22"/>
              </w:rPr>
            </w:pPr>
            <w:r w:rsidRPr="002B370E">
              <w:rPr>
                <w:b/>
                <w:sz w:val="22"/>
                <w:szCs w:val="22"/>
              </w:rPr>
              <w:t>TIME*</w:t>
            </w:r>
          </w:p>
        </w:tc>
      </w:tr>
      <w:tr w:rsidR="003436FE" w:rsidRPr="002B370E" w14:paraId="439E8145" w14:textId="77777777" w:rsidTr="00010683">
        <w:tc>
          <w:tcPr>
            <w:tcW w:w="4820" w:type="dxa"/>
            <w:shd w:val="pct10" w:color="auto" w:fill="FFFFFF"/>
          </w:tcPr>
          <w:p w14:paraId="6F5545E6"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p>
        </w:tc>
        <w:tc>
          <w:tcPr>
            <w:tcW w:w="1972" w:type="dxa"/>
          </w:tcPr>
          <w:p w14:paraId="35677F52" w14:textId="72A71A23" w:rsidR="003436FE" w:rsidRPr="002B370E" w:rsidRDefault="006F085A">
            <w:pPr>
              <w:spacing w:before="120" w:after="120"/>
              <w:jc w:val="center"/>
              <w:rPr>
                <w:sz w:val="22"/>
                <w:szCs w:val="22"/>
              </w:rPr>
            </w:pPr>
            <w:r>
              <w:rPr>
                <w:sz w:val="22"/>
                <w:szCs w:val="22"/>
              </w:rPr>
              <w:t>10.05.2021</w:t>
            </w:r>
          </w:p>
        </w:tc>
        <w:tc>
          <w:tcPr>
            <w:tcW w:w="1572" w:type="dxa"/>
          </w:tcPr>
          <w:p w14:paraId="5E8C3372" w14:textId="3DE755BB" w:rsidR="003436FE" w:rsidRPr="002B370E" w:rsidRDefault="006F085A">
            <w:pPr>
              <w:spacing w:before="120" w:after="120"/>
              <w:jc w:val="center"/>
              <w:rPr>
                <w:sz w:val="22"/>
                <w:szCs w:val="22"/>
              </w:rPr>
            </w:pPr>
            <w:r>
              <w:rPr>
                <w:sz w:val="22"/>
                <w:szCs w:val="22"/>
              </w:rPr>
              <w:t>16:00</w:t>
            </w:r>
          </w:p>
        </w:tc>
      </w:tr>
      <w:tr w:rsidR="003436FE" w:rsidRPr="002B370E" w14:paraId="6542AC01" w14:textId="77777777" w:rsidTr="00010683">
        <w:tc>
          <w:tcPr>
            <w:tcW w:w="4820" w:type="dxa"/>
            <w:shd w:val="pct10" w:color="auto" w:fill="FFFFFF"/>
          </w:tcPr>
          <w:p w14:paraId="32D1FA46"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D78C3">
              <w:rPr>
                <w:b/>
                <w:sz w:val="22"/>
                <w:szCs w:val="22"/>
              </w:rPr>
              <w:t>c</w:t>
            </w:r>
            <w:r>
              <w:rPr>
                <w:b/>
                <w:sz w:val="22"/>
                <w:szCs w:val="22"/>
              </w:rPr>
              <w:t xml:space="preserve">ontracting </w:t>
            </w:r>
            <w:r w:rsidR="00CD78C3">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3C7B30D6" w14:textId="5971DE3F" w:rsidR="003436FE" w:rsidRPr="002B370E" w:rsidRDefault="006F085A">
            <w:pPr>
              <w:spacing w:before="120" w:after="120"/>
              <w:jc w:val="center"/>
              <w:rPr>
                <w:sz w:val="22"/>
                <w:szCs w:val="22"/>
              </w:rPr>
            </w:pPr>
            <w:r>
              <w:rPr>
                <w:sz w:val="22"/>
                <w:szCs w:val="22"/>
              </w:rPr>
              <w:t>15.05.2021</w:t>
            </w:r>
          </w:p>
        </w:tc>
        <w:tc>
          <w:tcPr>
            <w:tcW w:w="1572" w:type="dxa"/>
          </w:tcPr>
          <w:p w14:paraId="5D0D60AD"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16AEFA9" w14:textId="77777777" w:rsidTr="00010683">
        <w:tc>
          <w:tcPr>
            <w:tcW w:w="4820" w:type="dxa"/>
            <w:shd w:val="pct10" w:color="auto" w:fill="FFFFFF"/>
          </w:tcPr>
          <w:p w14:paraId="49CD966D"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6F10BB4C" w14:textId="3192FE53" w:rsidR="003436FE" w:rsidRPr="002B370E" w:rsidRDefault="006F085A">
            <w:pPr>
              <w:spacing w:before="120" w:after="120"/>
              <w:jc w:val="center"/>
              <w:rPr>
                <w:sz w:val="22"/>
                <w:szCs w:val="22"/>
              </w:rPr>
            </w:pPr>
            <w:r>
              <w:rPr>
                <w:sz w:val="22"/>
                <w:szCs w:val="22"/>
              </w:rPr>
              <w:t>28.05.2021</w:t>
            </w:r>
          </w:p>
        </w:tc>
        <w:tc>
          <w:tcPr>
            <w:tcW w:w="1572" w:type="dxa"/>
          </w:tcPr>
          <w:p w14:paraId="6FEE3B6E" w14:textId="7B7464F1" w:rsidR="003436FE" w:rsidRPr="002B370E" w:rsidRDefault="006F085A">
            <w:pPr>
              <w:spacing w:before="120" w:after="120"/>
              <w:jc w:val="center"/>
              <w:rPr>
                <w:sz w:val="22"/>
                <w:szCs w:val="22"/>
              </w:rPr>
            </w:pPr>
            <w:r>
              <w:rPr>
                <w:sz w:val="22"/>
                <w:szCs w:val="22"/>
              </w:rPr>
              <w:t>16:00</w:t>
            </w:r>
          </w:p>
        </w:tc>
      </w:tr>
      <w:tr w:rsidR="003436FE" w:rsidRPr="002B370E" w14:paraId="0123A2A3" w14:textId="77777777" w:rsidTr="00010683">
        <w:tc>
          <w:tcPr>
            <w:tcW w:w="4820" w:type="dxa"/>
            <w:shd w:val="pct10" w:color="auto" w:fill="FFFFFF"/>
          </w:tcPr>
          <w:p w14:paraId="512F08A4"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46B6B86" w14:textId="0A703874" w:rsidR="003436FE" w:rsidRPr="002B370E" w:rsidRDefault="006F085A">
            <w:pPr>
              <w:spacing w:before="120" w:after="120"/>
              <w:jc w:val="center"/>
              <w:rPr>
                <w:sz w:val="22"/>
                <w:szCs w:val="22"/>
              </w:rPr>
            </w:pPr>
            <w:r>
              <w:rPr>
                <w:sz w:val="22"/>
                <w:szCs w:val="22"/>
              </w:rPr>
              <w:t>30.05.2021</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7808B564"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5AED8979" w14:textId="77777777" w:rsidTr="00010683">
        <w:tc>
          <w:tcPr>
            <w:tcW w:w="4820" w:type="dxa"/>
            <w:shd w:val="pct10" w:color="auto" w:fill="FFFFFF"/>
          </w:tcPr>
          <w:p w14:paraId="4F22EA81"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098B45E9" w14:textId="77662E1E" w:rsidR="003436FE" w:rsidRPr="002B370E" w:rsidRDefault="006F085A">
            <w:pPr>
              <w:spacing w:before="120" w:after="120"/>
              <w:jc w:val="center"/>
              <w:rPr>
                <w:sz w:val="22"/>
                <w:szCs w:val="22"/>
              </w:rPr>
            </w:pPr>
            <w:r>
              <w:rPr>
                <w:sz w:val="22"/>
                <w:szCs w:val="22"/>
              </w:rPr>
              <w:t>31.05.2021</w:t>
            </w:r>
          </w:p>
        </w:tc>
        <w:tc>
          <w:tcPr>
            <w:tcW w:w="1572" w:type="dxa"/>
          </w:tcPr>
          <w:p w14:paraId="3F05C1ED"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48F7238" w14:textId="77777777" w:rsidTr="00010683">
        <w:tc>
          <w:tcPr>
            <w:tcW w:w="4820" w:type="dxa"/>
            <w:shd w:val="pct10" w:color="auto" w:fill="FFFFFF"/>
          </w:tcPr>
          <w:p w14:paraId="65BFC1C5"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0879821B" w14:textId="74F37F67" w:rsidR="003436FE" w:rsidRPr="002B370E" w:rsidRDefault="006F085A">
            <w:pPr>
              <w:spacing w:before="120" w:after="120"/>
              <w:jc w:val="center"/>
              <w:rPr>
                <w:sz w:val="22"/>
                <w:szCs w:val="22"/>
              </w:rPr>
            </w:pPr>
            <w:r>
              <w:rPr>
                <w:sz w:val="22"/>
                <w:szCs w:val="22"/>
              </w:rPr>
              <w:t>01.06.2021</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3880E9A0"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0F5BA24" w14:textId="77777777" w:rsidTr="00010683">
        <w:tc>
          <w:tcPr>
            <w:tcW w:w="4820" w:type="dxa"/>
            <w:shd w:val="pct10" w:color="auto" w:fill="FFFFFF"/>
          </w:tcPr>
          <w:p w14:paraId="4E1DB90B"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6550A7A5" w14:textId="01A34074" w:rsidR="003436FE" w:rsidRPr="002B370E" w:rsidRDefault="006F085A">
            <w:pPr>
              <w:spacing w:before="120" w:after="120"/>
              <w:jc w:val="center"/>
              <w:rPr>
                <w:sz w:val="22"/>
                <w:szCs w:val="22"/>
              </w:rPr>
            </w:pPr>
            <w:r>
              <w:rPr>
                <w:sz w:val="22"/>
                <w:szCs w:val="22"/>
              </w:rPr>
              <w:t>01.06.2021</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623C5E2C" w14:textId="77777777" w:rsidR="003436FE" w:rsidRPr="002B370E" w:rsidRDefault="003436FE">
            <w:pPr>
              <w:spacing w:before="120" w:after="120"/>
              <w:jc w:val="center"/>
              <w:rPr>
                <w:sz w:val="22"/>
                <w:szCs w:val="22"/>
              </w:rPr>
            </w:pPr>
            <w:r w:rsidRPr="002B370E">
              <w:rPr>
                <w:sz w:val="22"/>
                <w:szCs w:val="22"/>
              </w:rPr>
              <w:t>-</w:t>
            </w:r>
          </w:p>
        </w:tc>
      </w:tr>
    </w:tbl>
    <w:p w14:paraId="2DF2D018" w14:textId="77777777"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D78C3">
        <w:rPr>
          <w:b/>
          <w:sz w:val="22"/>
          <w:szCs w:val="22"/>
        </w:rPr>
        <w:t>c</w:t>
      </w:r>
      <w:r w:rsidRPr="002B370E">
        <w:rPr>
          <w:b/>
          <w:sz w:val="22"/>
          <w:szCs w:val="22"/>
        </w:rPr>
        <w:t xml:space="preserve">ontracting </w:t>
      </w:r>
      <w:r w:rsidR="00CD78C3">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003C2433">
        <w:rPr>
          <w:sz w:val="22"/>
          <w:szCs w:val="22"/>
          <w:vertAlign w:val="superscript"/>
        </w:rPr>
        <w:t xml:space="preserve"> </w:t>
      </w:r>
      <w:r w:rsidRPr="002B370E">
        <w:rPr>
          <w:b/>
          <w:sz w:val="22"/>
          <w:szCs w:val="22"/>
        </w:rPr>
        <w:t>Provisional date</w:t>
      </w:r>
    </w:p>
    <w:p w14:paraId="5725FA77" w14:textId="77777777" w:rsidR="003436FE" w:rsidRPr="002B370E" w:rsidRDefault="003436FE" w:rsidP="00FE3D7D">
      <w:pPr>
        <w:keepNext/>
        <w:numPr>
          <w:ilvl w:val="0"/>
          <w:numId w:val="4"/>
        </w:numPr>
        <w:spacing w:before="120" w:after="120"/>
        <w:jc w:val="both"/>
        <w:rPr>
          <w:b/>
          <w:sz w:val="24"/>
          <w:szCs w:val="24"/>
        </w:rPr>
      </w:pPr>
      <w:bookmarkStart w:id="3" w:name="_Ref499615030"/>
      <w:r w:rsidRPr="002B370E">
        <w:rPr>
          <w:b/>
          <w:sz w:val="24"/>
          <w:szCs w:val="24"/>
        </w:rPr>
        <w:t>Participation</w:t>
      </w:r>
      <w:r w:rsidR="00B15D53">
        <w:rPr>
          <w:b/>
          <w:sz w:val="24"/>
          <w:szCs w:val="24"/>
        </w:rPr>
        <w:t>,</w:t>
      </w:r>
      <w:r w:rsidR="00840772">
        <w:rPr>
          <w:b/>
          <w:sz w:val="24"/>
          <w:szCs w:val="24"/>
        </w:rPr>
        <w:t xml:space="preserve"> </w:t>
      </w:r>
      <w:r w:rsidR="007E7D2E">
        <w:rPr>
          <w:b/>
          <w:sz w:val="24"/>
          <w:szCs w:val="24"/>
        </w:rPr>
        <w:t xml:space="preserve">experts and </w:t>
      </w:r>
      <w:r w:rsidRPr="002B370E">
        <w:rPr>
          <w:b/>
          <w:sz w:val="24"/>
          <w:szCs w:val="24"/>
        </w:rPr>
        <w:t>subcontracting</w:t>
      </w:r>
      <w:bookmarkEnd w:id="3"/>
    </w:p>
    <w:p w14:paraId="3FBFF872" w14:textId="08A84777" w:rsidR="00477B81" w:rsidRPr="00DB72FF" w:rsidRDefault="003436FE" w:rsidP="00FE3D7D">
      <w:pPr>
        <w:numPr>
          <w:ilvl w:val="0"/>
          <w:numId w:val="1"/>
        </w:numPr>
        <w:rPr>
          <w:sz w:val="22"/>
          <w:szCs w:val="22"/>
        </w:rPr>
      </w:pPr>
      <w:r w:rsidRPr="002B370E">
        <w:rPr>
          <w:sz w:val="22"/>
          <w:szCs w:val="22"/>
        </w:rPr>
        <w:t>Participation in this tender procedure is</w:t>
      </w:r>
      <w:r w:rsidR="006F085A">
        <w:rPr>
          <w:sz w:val="22"/>
          <w:szCs w:val="22"/>
        </w:rPr>
        <w:t xml:space="preserve"> publicly </w:t>
      </w:r>
      <w:proofErr w:type="gramStart"/>
      <w:r w:rsidR="006F085A">
        <w:rPr>
          <w:sz w:val="22"/>
          <w:szCs w:val="22"/>
        </w:rPr>
        <w:t xml:space="preserve">open </w:t>
      </w:r>
      <w:r w:rsidR="00EF67ED">
        <w:rPr>
          <w:sz w:val="22"/>
          <w:szCs w:val="22"/>
        </w:rPr>
        <w:t>.</w:t>
      </w:r>
      <w:proofErr w:type="gramEnd"/>
      <w:r w:rsidR="00DB72FF" w:rsidRPr="00DB72FF">
        <w:t xml:space="preserve"> </w:t>
      </w:r>
      <w:r w:rsidR="00DB72FF" w:rsidRPr="00DB72FF">
        <w:rPr>
          <w:sz w:val="22"/>
          <w:szCs w:val="22"/>
        </w:rPr>
        <w:t xml:space="preserve">For the eligibility, please see point 10 of the contract notice. </w:t>
      </w:r>
    </w:p>
    <w:p w14:paraId="42AB1411" w14:textId="77777777" w:rsidR="003436FE" w:rsidRPr="00CB5402" w:rsidRDefault="003436FE" w:rsidP="00FE3D7D">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Natural or legal persons are not entitled to participate in this tender procedure or be awarded a contract if they are in any of the </w:t>
      </w:r>
      <w:r w:rsidR="00ED0788" w:rsidRPr="00E82463">
        <w:rPr>
          <w:sz w:val="22"/>
        </w:rPr>
        <w:t>situations</w:t>
      </w:r>
      <w:r w:rsidR="00ED0788" w:rsidRPr="002B370E">
        <w:rPr>
          <w:sz w:val="22"/>
          <w:szCs w:val="22"/>
        </w:rPr>
        <w:t xml:space="preserve"> </w:t>
      </w:r>
      <w:r w:rsidRPr="002B370E">
        <w:rPr>
          <w:sz w:val="22"/>
          <w:szCs w:val="22"/>
        </w:rPr>
        <w:t>mentioned in Section</w:t>
      </w:r>
      <w:r w:rsidR="00323286">
        <w:rPr>
          <w:sz w:val="22"/>
          <w:szCs w:val="22"/>
        </w:rPr>
        <w:t>s</w:t>
      </w:r>
      <w:r w:rsidR="00004FB1">
        <w:rPr>
          <w:sz w:val="22"/>
          <w:szCs w:val="22"/>
        </w:rPr>
        <w:t xml:space="preserve"> 2.</w:t>
      </w:r>
      <w:r w:rsidR="00CD78C3">
        <w:rPr>
          <w:sz w:val="22"/>
          <w:szCs w:val="22"/>
        </w:rPr>
        <w:t>4</w:t>
      </w:r>
      <w:r w:rsidR="00004FB1">
        <w:rPr>
          <w:sz w:val="22"/>
          <w:szCs w:val="22"/>
        </w:rPr>
        <w:t>. (EU restrictive measures),</w:t>
      </w:r>
      <w:r w:rsidR="004A5395">
        <w:rPr>
          <w:sz w:val="22"/>
          <w:szCs w:val="22"/>
        </w:rPr>
        <w:t xml:space="preserve"> </w:t>
      </w:r>
      <w:r w:rsidR="004A5395" w:rsidRPr="002B370E">
        <w:rPr>
          <w:sz w:val="22"/>
          <w:szCs w:val="22"/>
        </w:rPr>
        <w:t>2.</w:t>
      </w:r>
      <w:r w:rsidR="00CD78C3">
        <w:rPr>
          <w:sz w:val="22"/>
          <w:szCs w:val="22"/>
        </w:rPr>
        <w:t>6</w:t>
      </w:r>
      <w:r w:rsidR="004A5395" w:rsidRPr="002B370E">
        <w:rPr>
          <w:sz w:val="22"/>
          <w:szCs w:val="22"/>
        </w:rPr>
        <w:t>.</w:t>
      </w:r>
      <w:r w:rsidR="00CD78C3">
        <w:rPr>
          <w:sz w:val="22"/>
          <w:szCs w:val="22"/>
        </w:rPr>
        <w:t>10</w:t>
      </w:r>
      <w:r w:rsidR="004A5395">
        <w:rPr>
          <w:sz w:val="22"/>
          <w:szCs w:val="22"/>
        </w:rPr>
        <w:t>.1</w:t>
      </w:r>
      <w:r w:rsidR="00CD78C3">
        <w:rPr>
          <w:sz w:val="22"/>
          <w:szCs w:val="22"/>
        </w:rPr>
        <w:t>.1</w:t>
      </w:r>
      <w:r w:rsidR="004A5395">
        <w:rPr>
          <w:sz w:val="22"/>
          <w:szCs w:val="22"/>
        </w:rPr>
        <w:t xml:space="preserve"> (exclusion criteria) or 2.</w:t>
      </w:r>
      <w:r w:rsidR="00CD78C3">
        <w:rPr>
          <w:sz w:val="22"/>
          <w:szCs w:val="22"/>
        </w:rPr>
        <w:t>6</w:t>
      </w:r>
      <w:r w:rsidR="004A5395">
        <w:rPr>
          <w:sz w:val="22"/>
          <w:szCs w:val="22"/>
        </w:rPr>
        <w:t>.</w:t>
      </w:r>
      <w:r w:rsidR="00CD78C3">
        <w:rPr>
          <w:sz w:val="22"/>
          <w:szCs w:val="22"/>
        </w:rPr>
        <w:t>10</w:t>
      </w:r>
      <w:r w:rsidR="004A5395">
        <w:rPr>
          <w:sz w:val="22"/>
          <w:szCs w:val="22"/>
        </w:rPr>
        <w:t>.</w:t>
      </w:r>
      <w:r w:rsidR="00CD78C3">
        <w:rPr>
          <w:sz w:val="22"/>
          <w:szCs w:val="22"/>
        </w:rPr>
        <w:t>1</w:t>
      </w:r>
      <w:r w:rsidR="004A5395">
        <w:rPr>
          <w:sz w:val="22"/>
          <w:szCs w:val="22"/>
        </w:rPr>
        <w:t>.</w:t>
      </w:r>
      <w:r w:rsidR="00CD78C3">
        <w:rPr>
          <w:sz w:val="22"/>
          <w:szCs w:val="22"/>
        </w:rPr>
        <w:t>2.</w:t>
      </w:r>
      <w:r w:rsidR="004A5395">
        <w:rPr>
          <w:sz w:val="22"/>
          <w:szCs w:val="22"/>
        </w:rPr>
        <w:t xml:space="preserve"> (</w:t>
      </w:r>
      <w:proofErr w:type="gramStart"/>
      <w:r w:rsidR="004A5395">
        <w:rPr>
          <w:sz w:val="22"/>
          <w:szCs w:val="22"/>
        </w:rPr>
        <w:t>rejection</w:t>
      </w:r>
      <w:proofErr w:type="gramEnd"/>
      <w:r w:rsidR="004A5395">
        <w:rPr>
          <w:sz w:val="22"/>
          <w:szCs w:val="22"/>
        </w:rPr>
        <w:t xml:space="preserve"> from a</w:t>
      </w:r>
      <w:r w:rsidR="004A5395" w:rsidRPr="00F80338">
        <w:rPr>
          <w:sz w:val="22"/>
          <w:szCs w:val="22"/>
        </w:rPr>
        <w:t xml:space="preserve"> procedure</w:t>
      </w:r>
      <w:r w:rsidR="004A5395">
        <w:rPr>
          <w:sz w:val="22"/>
          <w:szCs w:val="22"/>
        </w:rPr>
        <w:t>)</w:t>
      </w:r>
      <w:r w:rsidR="00323286">
        <w:rPr>
          <w:sz w:val="22"/>
          <w:szCs w:val="22"/>
        </w:rPr>
        <w:t xml:space="preserve"> </w:t>
      </w:r>
      <w:r w:rsidRPr="002B370E">
        <w:rPr>
          <w:sz w:val="22"/>
          <w:szCs w:val="22"/>
        </w:rPr>
        <w:t xml:space="preserve">of the </w:t>
      </w:r>
      <w:r w:rsidR="00CD78C3">
        <w:rPr>
          <w:b/>
          <w:sz w:val="22"/>
          <w:szCs w:val="22"/>
        </w:rPr>
        <w:t>p</w:t>
      </w:r>
      <w:r w:rsidRPr="002B370E">
        <w:rPr>
          <w:b/>
          <w:sz w:val="22"/>
          <w:szCs w:val="22"/>
        </w:rPr>
        <w:t xml:space="preserve">ractical </w:t>
      </w:r>
      <w:r w:rsidR="00CD78C3">
        <w:rPr>
          <w:b/>
          <w:sz w:val="22"/>
          <w:szCs w:val="22"/>
        </w:rPr>
        <w:t>g</w:t>
      </w:r>
      <w:r w:rsidRPr="002B370E">
        <w:rPr>
          <w:b/>
          <w:sz w:val="22"/>
          <w:szCs w:val="22"/>
        </w:rPr>
        <w:t>uide</w:t>
      </w:r>
      <w:r w:rsidRPr="002B370E">
        <w:rPr>
          <w:sz w:val="22"/>
          <w:szCs w:val="22"/>
        </w:rPr>
        <w:t xml:space="preserve">. Should they </w:t>
      </w:r>
      <w:r w:rsidR="009263BF">
        <w:rPr>
          <w:sz w:val="22"/>
          <w:szCs w:val="22"/>
        </w:rPr>
        <w:t>be in one of these situations</w:t>
      </w:r>
      <w:r w:rsidRPr="002B370E">
        <w:rPr>
          <w:sz w:val="22"/>
          <w:szCs w:val="22"/>
        </w:rPr>
        <w:t xml:space="preserve">, </w:t>
      </w:r>
      <w:r w:rsidR="00323286" w:rsidRPr="007C62DC">
        <w:rPr>
          <w:sz w:val="22"/>
          <w:szCs w:val="22"/>
        </w:rPr>
        <w:t>their tender will be consider</w:t>
      </w:r>
      <w:r w:rsidR="00323286">
        <w:rPr>
          <w:sz w:val="22"/>
          <w:szCs w:val="22"/>
        </w:rPr>
        <w:t>ed</w:t>
      </w:r>
      <w:r w:rsidR="00323286" w:rsidRPr="007C62DC">
        <w:rPr>
          <w:sz w:val="22"/>
          <w:szCs w:val="22"/>
        </w:rPr>
        <w:t xml:space="preserve"> </w:t>
      </w:r>
      <w:r w:rsidR="009263BF">
        <w:rPr>
          <w:sz w:val="22"/>
          <w:szCs w:val="22"/>
        </w:rPr>
        <w:t xml:space="preserve">either </w:t>
      </w:r>
      <w:r w:rsidR="00323286" w:rsidRPr="007C62DC">
        <w:rPr>
          <w:sz w:val="22"/>
          <w:szCs w:val="22"/>
        </w:rPr>
        <w:t>unsuitable</w:t>
      </w:r>
      <w:r w:rsidR="009B3435">
        <w:rPr>
          <w:sz w:val="22"/>
          <w:szCs w:val="22"/>
        </w:rPr>
        <w:t xml:space="preserve"> or irregular</w:t>
      </w:r>
      <w:r w:rsidR="00323286">
        <w:rPr>
          <w:sz w:val="22"/>
          <w:szCs w:val="22"/>
        </w:rPr>
        <w:t>.</w:t>
      </w:r>
      <w:r w:rsidR="00323286" w:rsidRPr="002B370E">
        <w:rPr>
          <w:sz w:val="22"/>
          <w:szCs w:val="22"/>
        </w:rPr>
        <w:t xml:space="preserve"> </w:t>
      </w:r>
    </w:p>
    <w:p w14:paraId="382DA42C" w14:textId="77777777" w:rsidR="003436FE" w:rsidRPr="002B370E" w:rsidRDefault="000E6A9C" w:rsidP="00FE3D7D">
      <w:pPr>
        <w:pStyle w:val="BodyText"/>
        <w:numPr>
          <w:ilvl w:val="0"/>
          <w:numId w:val="1"/>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330"/>
        <w:jc w:val="both"/>
        <w:rPr>
          <w:sz w:val="22"/>
          <w:szCs w:val="22"/>
        </w:rPr>
      </w:pPr>
      <w:r>
        <w:rPr>
          <w:sz w:val="22"/>
          <w:szCs w:val="22"/>
        </w:rPr>
        <w:t>I</w:t>
      </w:r>
      <w:r w:rsidRPr="000E6A9C">
        <w:rPr>
          <w:sz w:val="22"/>
          <w:szCs w:val="22"/>
        </w:rPr>
        <w:t>n the cases listed in Section 2.</w:t>
      </w:r>
      <w:r w:rsidR="00CD78C3">
        <w:rPr>
          <w:sz w:val="22"/>
          <w:szCs w:val="22"/>
        </w:rPr>
        <w:t>6</w:t>
      </w:r>
      <w:r w:rsidRPr="000E6A9C">
        <w:rPr>
          <w:sz w:val="22"/>
          <w:szCs w:val="22"/>
        </w:rPr>
        <w:t>.</w:t>
      </w:r>
      <w:r w:rsidR="00CD78C3">
        <w:rPr>
          <w:sz w:val="22"/>
          <w:szCs w:val="22"/>
        </w:rPr>
        <w:t>10</w:t>
      </w:r>
      <w:r w:rsidR="00323286">
        <w:rPr>
          <w:sz w:val="22"/>
          <w:szCs w:val="22"/>
        </w:rPr>
        <w:t>.1</w:t>
      </w:r>
      <w:r w:rsidR="00CD78C3">
        <w:rPr>
          <w:sz w:val="22"/>
          <w:szCs w:val="22"/>
        </w:rPr>
        <w:t>.1.</w:t>
      </w:r>
      <w:r w:rsidRPr="000E6A9C">
        <w:rPr>
          <w:sz w:val="22"/>
          <w:szCs w:val="22"/>
        </w:rPr>
        <w:t xml:space="preserve"> of the </w:t>
      </w:r>
      <w:r w:rsidR="00CD78C3">
        <w:rPr>
          <w:b/>
          <w:sz w:val="22"/>
          <w:szCs w:val="22"/>
        </w:rPr>
        <w:t>p</w:t>
      </w:r>
      <w:r w:rsidRPr="000E38EE">
        <w:rPr>
          <w:b/>
          <w:sz w:val="22"/>
          <w:szCs w:val="22"/>
        </w:rPr>
        <w:t xml:space="preserve">ractical </w:t>
      </w:r>
      <w:r w:rsidR="00CD78C3">
        <w:rPr>
          <w:b/>
          <w:sz w:val="22"/>
          <w:szCs w:val="22"/>
        </w:rPr>
        <w:t>g</w:t>
      </w:r>
      <w:r w:rsidRPr="000E38EE">
        <w:rPr>
          <w:b/>
          <w:sz w:val="22"/>
          <w:szCs w:val="22"/>
        </w:rPr>
        <w:t>uide</w:t>
      </w:r>
      <w:r>
        <w:rPr>
          <w:sz w:val="22"/>
          <w:szCs w:val="22"/>
        </w:rPr>
        <w:t xml:space="preserve"> t</w:t>
      </w:r>
      <w:r w:rsidR="003436FE" w:rsidRPr="002B370E">
        <w:rPr>
          <w:sz w:val="22"/>
          <w:szCs w:val="22"/>
        </w:rPr>
        <w:t xml:space="preserve">enderers may be </w:t>
      </w:r>
      <w:r w:rsidR="00323286" w:rsidRPr="002B370E">
        <w:rPr>
          <w:sz w:val="22"/>
          <w:szCs w:val="22"/>
        </w:rPr>
        <w:t xml:space="preserve">excluded from </w:t>
      </w:r>
      <w:r w:rsidR="00323286">
        <w:rPr>
          <w:sz w:val="22"/>
          <w:szCs w:val="22"/>
        </w:rPr>
        <w:t>EU financed</w:t>
      </w:r>
      <w:r w:rsidR="00323286" w:rsidRPr="002B370E">
        <w:rPr>
          <w:sz w:val="22"/>
          <w:szCs w:val="22"/>
        </w:rPr>
        <w:t xml:space="preserve"> procedures </w:t>
      </w:r>
      <w:r w:rsidR="00323286">
        <w:rPr>
          <w:sz w:val="22"/>
          <w:szCs w:val="22"/>
        </w:rPr>
        <w:t xml:space="preserve">and be </w:t>
      </w:r>
      <w:r w:rsidR="003436FE" w:rsidRPr="002B370E">
        <w:rPr>
          <w:sz w:val="22"/>
          <w:szCs w:val="22"/>
        </w:rPr>
        <w:t xml:space="preserve">subject to financial penalties </w:t>
      </w:r>
      <w:r w:rsidR="00F721C7">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634124">
        <w:rPr>
          <w:sz w:val="22"/>
          <w:szCs w:val="22"/>
        </w:rPr>
        <w:t xml:space="preserve"> in accordance with the Financial Regulation in force.</w:t>
      </w:r>
      <w:r w:rsidR="003436FE" w:rsidRPr="002B370E">
        <w:rPr>
          <w:sz w:val="22"/>
          <w:szCs w:val="22"/>
        </w:rPr>
        <w:t xml:space="preserve"> </w:t>
      </w:r>
      <w:r w:rsidRPr="000E6A9C">
        <w:rPr>
          <w:sz w:val="22"/>
          <w:szCs w:val="22"/>
        </w:rPr>
        <w:t>This information may be published on the Commission website</w:t>
      </w:r>
      <w:r w:rsidR="00A07EED">
        <w:rPr>
          <w:sz w:val="22"/>
          <w:szCs w:val="22"/>
        </w:rPr>
        <w:t xml:space="preserve"> in accordance with the Financial Regulation in force</w:t>
      </w:r>
      <w:r w:rsidR="00323286">
        <w:rPr>
          <w:sz w:val="22"/>
          <w:szCs w:val="22"/>
        </w:rPr>
        <w:t>.</w:t>
      </w:r>
      <w:r w:rsidRPr="000E6A9C">
        <w:rPr>
          <w:sz w:val="22"/>
          <w:szCs w:val="22"/>
        </w:rPr>
        <w:t xml:space="preserve"> </w:t>
      </w:r>
    </w:p>
    <w:p w14:paraId="0A963F55" w14:textId="77777777" w:rsidR="003436FE" w:rsidRPr="002B370E" w:rsidRDefault="003436FE" w:rsidP="00FE3D7D">
      <w:pPr>
        <w:widowControl w:val="0"/>
        <w:numPr>
          <w:ilvl w:val="0"/>
          <w:numId w:val="4"/>
        </w:numPr>
        <w:spacing w:before="120" w:after="120"/>
        <w:jc w:val="both"/>
        <w:rPr>
          <w:b/>
          <w:sz w:val="24"/>
          <w:szCs w:val="24"/>
        </w:rPr>
      </w:pPr>
      <w:r w:rsidRPr="002B370E">
        <w:rPr>
          <w:b/>
          <w:sz w:val="24"/>
          <w:szCs w:val="24"/>
        </w:rPr>
        <w:t>Content of tenders</w:t>
      </w:r>
    </w:p>
    <w:p w14:paraId="41085873" w14:textId="2C97F5DB"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w:t>
      </w:r>
      <w:r w:rsidRPr="002B370E">
        <w:rPr>
          <w:sz w:val="22"/>
          <w:szCs w:val="22"/>
          <w:lang w:val="en-GB"/>
        </w:rPr>
        <w:lastRenderedPageBreak/>
        <w:t xml:space="preserve">the </w:t>
      </w:r>
      <w:r w:rsidR="00CD78C3">
        <w:rPr>
          <w:sz w:val="22"/>
          <w:szCs w:val="22"/>
          <w:lang w:val="en-GB"/>
        </w:rPr>
        <w:t>c</w:t>
      </w:r>
      <w:r w:rsidRPr="002B370E">
        <w:rPr>
          <w:sz w:val="22"/>
          <w:szCs w:val="22"/>
          <w:lang w:val="en-GB"/>
        </w:rPr>
        <w:t xml:space="preserve">ontracting </w:t>
      </w:r>
      <w:r w:rsidR="00CD78C3">
        <w:rPr>
          <w:sz w:val="22"/>
          <w:szCs w:val="22"/>
          <w:lang w:val="en-GB"/>
        </w:rPr>
        <w:t>a</w:t>
      </w:r>
      <w:r w:rsidRPr="002B370E">
        <w:rPr>
          <w:sz w:val="22"/>
          <w:szCs w:val="22"/>
          <w:lang w:val="en-GB"/>
        </w:rPr>
        <w:t>uthority must be written in English</w:t>
      </w:r>
      <w:r w:rsidR="00F46D58" w:rsidRPr="00F46D58">
        <w:t xml:space="preserve"> </w:t>
      </w:r>
      <w:r w:rsidR="00F46D58">
        <w:rPr>
          <w:sz w:val="22"/>
          <w:szCs w:val="22"/>
          <w:lang w:val="en-GB"/>
        </w:rPr>
        <w:t>or Macedonian</w:t>
      </w:r>
      <w:r w:rsidRPr="002B370E">
        <w:rPr>
          <w:sz w:val="22"/>
          <w:szCs w:val="22"/>
          <w:lang w:val="en-GB"/>
        </w:rPr>
        <w:t>.</w:t>
      </w:r>
    </w:p>
    <w:p w14:paraId="783612EF"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w:t>
      </w:r>
      <w:r w:rsidR="00D305DF">
        <w:rPr>
          <w:sz w:val="22"/>
          <w:szCs w:val="22"/>
          <w:lang w:val="en-GB"/>
        </w:rPr>
        <w:t xml:space="preserve"> official</w:t>
      </w:r>
      <w:r w:rsidRPr="002B370E">
        <w:rPr>
          <w:sz w:val="22"/>
          <w:szCs w:val="22"/>
          <w:lang w:val="en-GB"/>
        </w:rPr>
        <w:t xml:space="preserve"> language</w:t>
      </w:r>
      <w:r w:rsidR="00D305DF">
        <w:rPr>
          <w:sz w:val="22"/>
          <w:szCs w:val="22"/>
          <w:lang w:val="en-GB"/>
        </w:rPr>
        <w:t xml:space="preserve"> of</w:t>
      </w:r>
      <w:r w:rsidR="005174E0">
        <w:rPr>
          <w:sz w:val="22"/>
          <w:szCs w:val="22"/>
          <w:lang w:val="en-GB"/>
        </w:rPr>
        <w:t xml:space="preserve"> the</w:t>
      </w:r>
      <w:r w:rsidR="00D305DF">
        <w:rPr>
          <w:sz w:val="22"/>
          <w:szCs w:val="22"/>
          <w:lang w:val="en-GB"/>
        </w:rPr>
        <w:t xml:space="preserve"> EU.</w:t>
      </w:r>
      <w:r w:rsidRPr="002B370E">
        <w:rPr>
          <w:sz w:val="22"/>
          <w:szCs w:val="22"/>
          <w:lang w:val="en-GB"/>
        </w:rPr>
        <w:t xml:space="preserv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4D814EE3" w14:textId="4B2B802A"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5611F8">
        <w:rPr>
          <w:sz w:val="22"/>
          <w:szCs w:val="22"/>
        </w:rPr>
        <w:t>include</w:t>
      </w:r>
      <w:r w:rsidRPr="002B370E">
        <w:rPr>
          <w:sz w:val="22"/>
          <w:szCs w:val="22"/>
        </w:rPr>
        <w:t xml:space="preserve"> a </w:t>
      </w:r>
      <w:r w:rsidR="006D6595">
        <w:rPr>
          <w:sz w:val="22"/>
          <w:szCs w:val="22"/>
        </w:rPr>
        <w:t>t</w:t>
      </w:r>
      <w:r w:rsidRPr="002B370E">
        <w:rPr>
          <w:sz w:val="22"/>
          <w:szCs w:val="22"/>
        </w:rPr>
        <w:t xml:space="preserve">echnical offer and a </w:t>
      </w:r>
      <w:r w:rsidR="006D6595">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3C5CBF">
        <w:rPr>
          <w:sz w:val="22"/>
          <w:szCs w:val="22"/>
        </w:rPr>
        <w:t>8</w:t>
      </w:r>
      <w:r w:rsidRPr="002B370E">
        <w:rPr>
          <w:sz w:val="22"/>
          <w:szCs w:val="22"/>
        </w:rPr>
        <w:fldChar w:fldCharType="end"/>
      </w:r>
      <w:r w:rsidRPr="002B370E">
        <w:rPr>
          <w:sz w:val="22"/>
          <w:szCs w:val="22"/>
        </w:rPr>
        <w:t xml:space="preserve">). Each </w:t>
      </w:r>
      <w:r w:rsidR="006D6595">
        <w:rPr>
          <w:sz w:val="22"/>
          <w:szCs w:val="22"/>
        </w:rPr>
        <w:t>t</w:t>
      </w:r>
      <w:r w:rsidRPr="002B370E">
        <w:rPr>
          <w:sz w:val="22"/>
          <w:szCs w:val="22"/>
        </w:rPr>
        <w:t xml:space="preserve">echnical offer and </w:t>
      </w:r>
      <w:r w:rsidR="006D6595">
        <w:rPr>
          <w:sz w:val="22"/>
          <w:szCs w:val="22"/>
        </w:rPr>
        <w:t>f</w:t>
      </w:r>
      <w:r w:rsidRPr="002B370E">
        <w:rPr>
          <w:sz w:val="22"/>
          <w:szCs w:val="22"/>
        </w:rPr>
        <w:t xml:space="preserve">inancial offer must contain one original, clearly marked </w:t>
      </w:r>
      <w:r w:rsidR="00EE6A73">
        <w:rPr>
          <w:b/>
          <w:sz w:val="22"/>
          <w:szCs w:val="22"/>
        </w:rPr>
        <w:t>“</w:t>
      </w:r>
      <w:r w:rsidRPr="002B370E">
        <w:rPr>
          <w:b/>
          <w:sz w:val="22"/>
          <w:szCs w:val="22"/>
        </w:rPr>
        <w:t>Original</w:t>
      </w:r>
      <w:r w:rsidR="00EE6A73">
        <w:rPr>
          <w:b/>
          <w:sz w:val="22"/>
          <w:szCs w:val="22"/>
        </w:rPr>
        <w:t>”</w:t>
      </w:r>
      <w:r w:rsidR="001C41D4">
        <w:rPr>
          <w:sz w:val="22"/>
          <w:szCs w:val="22"/>
        </w:rPr>
        <w:t>, and 2</w:t>
      </w:r>
      <w:r w:rsidRPr="002B370E">
        <w:rPr>
          <w:sz w:val="22"/>
          <w:szCs w:val="22"/>
        </w:rPr>
        <w:t xml:space="preserve"> copies, each marked </w:t>
      </w:r>
      <w:r w:rsidR="00EE6A73" w:rsidRPr="00695F78">
        <w:rPr>
          <w:b/>
          <w:sz w:val="22"/>
          <w:szCs w:val="22"/>
        </w:rPr>
        <w:t>“</w:t>
      </w:r>
      <w:r w:rsidRPr="002B370E">
        <w:rPr>
          <w:b/>
          <w:sz w:val="22"/>
          <w:szCs w:val="22"/>
        </w:rPr>
        <w:t>Copy</w:t>
      </w:r>
      <w:r w:rsidR="00EE6A73">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3C5CBF">
        <w:rPr>
          <w:sz w:val="22"/>
          <w:szCs w:val="22"/>
        </w:rPr>
        <w:t>8</w:t>
      </w:r>
      <w:r w:rsidRPr="002B370E">
        <w:rPr>
          <w:sz w:val="22"/>
          <w:szCs w:val="22"/>
        </w:rPr>
        <w:fldChar w:fldCharType="end"/>
      </w:r>
      <w:r w:rsidRPr="002B370E">
        <w:rPr>
          <w:sz w:val="22"/>
          <w:szCs w:val="22"/>
        </w:rPr>
        <w:t xml:space="preserve"> will constitute </w:t>
      </w:r>
      <w:r w:rsidR="00CB5402">
        <w:rPr>
          <w:sz w:val="22"/>
          <w:szCs w:val="22"/>
        </w:rPr>
        <w:t>an irregularity</w:t>
      </w:r>
      <w:r w:rsidRPr="002B370E">
        <w:rPr>
          <w:sz w:val="22"/>
          <w:szCs w:val="22"/>
        </w:rPr>
        <w:t xml:space="preserve"> and may result in rejection of the tender.</w:t>
      </w:r>
    </w:p>
    <w:p w14:paraId="74BC423D"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75460DF3" w14:textId="77777777" w:rsidR="003436FE" w:rsidRPr="002B370E" w:rsidRDefault="003436FE" w:rsidP="003436FE">
      <w:pPr>
        <w:widowControl w:val="0"/>
        <w:spacing w:before="120" w:after="120"/>
        <w:jc w:val="both"/>
        <w:rPr>
          <w:sz w:val="22"/>
          <w:szCs w:val="22"/>
        </w:rPr>
      </w:pPr>
      <w:r w:rsidRPr="002B370E">
        <w:rPr>
          <w:sz w:val="22"/>
          <w:szCs w:val="22"/>
        </w:rPr>
        <w:t>The Technical offer must include the following documents:</w:t>
      </w:r>
    </w:p>
    <w:p w14:paraId="1B9223C8" w14:textId="77777777" w:rsidR="00CA7115" w:rsidRPr="00CA7115" w:rsidRDefault="003436FE" w:rsidP="00FE3D7D">
      <w:pPr>
        <w:widowControl w:val="0"/>
        <w:numPr>
          <w:ilvl w:val="0"/>
          <w:numId w:val="2"/>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753F71C4" w14:textId="77777777" w:rsidR="00E75D8F" w:rsidRPr="00E75D8F" w:rsidRDefault="00E75D8F" w:rsidP="00E75D8F">
      <w:pPr>
        <w:numPr>
          <w:ilvl w:val="0"/>
          <w:numId w:val="5"/>
        </w:numPr>
        <w:tabs>
          <w:tab w:val="clear" w:pos="360"/>
          <w:tab w:val="num" w:pos="851"/>
        </w:tabs>
        <w:spacing w:before="120" w:after="120"/>
        <w:ind w:left="851" w:hanging="284"/>
        <w:jc w:val="both"/>
        <w:rPr>
          <w:sz w:val="22"/>
          <w:szCs w:val="22"/>
        </w:rPr>
      </w:pPr>
      <w:r w:rsidRPr="00E75D8F">
        <w:rPr>
          <w:sz w:val="22"/>
          <w:szCs w:val="22"/>
        </w:rPr>
        <w:t>Signed statements of exclusivity and availability (using the template included with the tender submission form), one for each key expert, the purpose of which are as follows:</w:t>
      </w:r>
    </w:p>
    <w:p w14:paraId="1DFC64B1" w14:textId="41C4E8BD" w:rsidR="00E75D8F" w:rsidRPr="00E75D8F" w:rsidRDefault="00E75D8F" w:rsidP="00E75D8F">
      <w:pPr>
        <w:numPr>
          <w:ilvl w:val="0"/>
          <w:numId w:val="20"/>
        </w:numPr>
        <w:tabs>
          <w:tab w:val="clear" w:pos="360"/>
        </w:tabs>
        <w:spacing w:before="120" w:after="120"/>
        <w:ind w:left="1276"/>
        <w:jc w:val="both"/>
        <w:rPr>
          <w:sz w:val="22"/>
          <w:szCs w:val="22"/>
        </w:rPr>
      </w:pPr>
      <w:r w:rsidRPr="00E75D8F">
        <w:rPr>
          <w:sz w:val="22"/>
          <w:szCs w:val="22"/>
        </w:rPr>
        <w:t>The key experts must not be part of any other tender submitted for this tender procedure. They must therefore commit themselves exclusively to the tenderer.</w:t>
      </w:r>
    </w:p>
    <w:p w14:paraId="76AF90C5" w14:textId="3A27CD88" w:rsidR="00E75D8F" w:rsidRPr="00E75D8F" w:rsidRDefault="00E75D8F" w:rsidP="00E75D8F">
      <w:pPr>
        <w:keepNext/>
        <w:numPr>
          <w:ilvl w:val="0"/>
          <w:numId w:val="20"/>
        </w:numPr>
        <w:tabs>
          <w:tab w:val="clear" w:pos="360"/>
        </w:tabs>
        <w:spacing w:before="120" w:after="120"/>
        <w:ind w:left="1276" w:hanging="357"/>
        <w:jc w:val="both"/>
        <w:rPr>
          <w:sz w:val="22"/>
          <w:szCs w:val="22"/>
        </w:rPr>
      </w:pPr>
      <w:r>
        <w:rPr>
          <w:sz w:val="22"/>
          <w:szCs w:val="22"/>
        </w:rPr>
        <w:t>He/she</w:t>
      </w:r>
      <w:r w:rsidRPr="00E75D8F">
        <w:rPr>
          <w:sz w:val="22"/>
          <w:szCs w:val="22"/>
        </w:rPr>
        <w:t xml:space="preserve"> must also undertake to be available, able and willing to work for the whole period scheduled for his/her input to implement the tasks set out in the terms of reference and/or in the organisation and methodology.</w:t>
      </w:r>
    </w:p>
    <w:p w14:paraId="38754881" w14:textId="066B4253" w:rsidR="00D06501" w:rsidRPr="00D06501" w:rsidRDefault="00D06501" w:rsidP="00D06501">
      <w:pPr>
        <w:numPr>
          <w:ilvl w:val="0"/>
          <w:numId w:val="5"/>
        </w:numPr>
        <w:tabs>
          <w:tab w:val="clear" w:pos="360"/>
          <w:tab w:val="num" w:pos="927"/>
        </w:tabs>
        <w:spacing w:before="120" w:after="120"/>
        <w:ind w:left="927"/>
        <w:jc w:val="both"/>
        <w:rPr>
          <w:rFonts w:cs="Calibri"/>
          <w:sz w:val="22"/>
        </w:rPr>
      </w:pPr>
      <w:r w:rsidRPr="00D06501">
        <w:rPr>
          <w:rFonts w:cs="Calibri"/>
          <w:sz w:val="22"/>
        </w:rPr>
        <w:t>A signed</w:t>
      </w:r>
      <w:r w:rsidRPr="00D06501">
        <w:rPr>
          <w:rFonts w:cs="Calibri"/>
          <w:b/>
          <w:sz w:val="22"/>
        </w:rPr>
        <w:t xml:space="preserve"> declaration</w:t>
      </w:r>
      <w:r w:rsidRPr="00D06501">
        <w:rPr>
          <w:rFonts w:cs="Calibri"/>
          <w:sz w:val="22"/>
        </w:rPr>
        <w:t xml:space="preserve"> together with a signed "Declaration on honour on exclusion criteria and selection criteria"</w:t>
      </w:r>
      <w:r w:rsidRPr="00D06501">
        <w:rPr>
          <w:rStyle w:val="FootnoteReference"/>
          <w:rFonts w:cs="Calibri"/>
          <w:sz w:val="22"/>
        </w:rPr>
        <w:footnoteRef/>
      </w:r>
      <w:r w:rsidRPr="00D06501">
        <w:rPr>
          <w:rFonts w:cs="Calibri"/>
          <w:sz w:val="22"/>
        </w:rPr>
        <w:t xml:space="preserve"> from each legal entity identified in the tender submission form and from each sub-contractor and/or capacity providing entity, using the format attached to the tender submission form.</w:t>
      </w:r>
      <w:r>
        <w:rPr>
          <w:rFonts w:cs="Calibri"/>
          <w:sz w:val="22"/>
        </w:rPr>
        <w:t xml:space="preserve"> </w:t>
      </w:r>
    </w:p>
    <w:p w14:paraId="4A81FC44" w14:textId="77777777" w:rsidR="003436FE" w:rsidRPr="002B370E" w:rsidRDefault="003436FE" w:rsidP="00FE3D7D">
      <w:pPr>
        <w:numPr>
          <w:ilvl w:val="0"/>
          <w:numId w:val="2"/>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77B787EE" w14:textId="5B67C8A2" w:rsidR="003436FE" w:rsidRDefault="003436FE" w:rsidP="003436FE">
      <w:pPr>
        <w:spacing w:before="120" w:after="120"/>
        <w:ind w:left="567"/>
        <w:jc w:val="both"/>
        <w:rPr>
          <w:sz w:val="22"/>
          <w:szCs w:val="22"/>
        </w:rPr>
      </w:pPr>
      <w:r w:rsidRPr="0026737B">
        <w:rPr>
          <w:sz w:val="22"/>
          <w:szCs w:val="22"/>
        </w:rPr>
        <w:t xml:space="preserve">The ‘Estimated number of working days’ worksheet (in the budget breakdown spreadsheet for Annex V) must be included in the </w:t>
      </w:r>
      <w:r w:rsidR="006D6595" w:rsidRPr="0026737B">
        <w:rPr>
          <w:sz w:val="22"/>
          <w:szCs w:val="22"/>
        </w:rPr>
        <w:t>o</w:t>
      </w:r>
      <w:r w:rsidRPr="0026737B">
        <w:rPr>
          <w:sz w:val="22"/>
          <w:szCs w:val="22"/>
        </w:rPr>
        <w:t>rganisation and methodology.</w:t>
      </w:r>
    </w:p>
    <w:p w14:paraId="7261D41C" w14:textId="77777777" w:rsidR="0081471C" w:rsidRDefault="0081471C" w:rsidP="0081471C">
      <w:pPr>
        <w:spacing w:before="120" w:after="120"/>
        <w:ind w:left="567"/>
        <w:jc w:val="both"/>
        <w:rPr>
          <w:color w:val="000000"/>
          <w:sz w:val="22"/>
          <w:szCs w:val="22"/>
        </w:rPr>
      </w:pPr>
      <w:r w:rsidRPr="002B370E">
        <w:rPr>
          <w:color w:val="000000"/>
          <w:sz w:val="22"/>
          <w:szCs w:val="22"/>
        </w:rPr>
        <w:t xml:space="preserve">The </w:t>
      </w:r>
      <w:r>
        <w:rPr>
          <w:color w:val="000000"/>
          <w:sz w:val="22"/>
          <w:szCs w:val="22"/>
        </w:rPr>
        <w:t>c</w:t>
      </w:r>
      <w:r w:rsidRPr="002B370E">
        <w:rPr>
          <w:color w:val="000000"/>
          <w:sz w:val="22"/>
          <w:szCs w:val="22"/>
        </w:rPr>
        <w:t xml:space="preserve">ontracting </w:t>
      </w:r>
      <w:r>
        <w:rPr>
          <w:color w:val="000000"/>
          <w:sz w:val="22"/>
          <w:szCs w:val="22"/>
        </w:rPr>
        <w:t>a</w:t>
      </w:r>
      <w:r w:rsidRPr="002B370E">
        <w:rPr>
          <w:color w:val="000000"/>
          <w:sz w:val="22"/>
          <w:szCs w:val="22"/>
        </w:rPr>
        <w:t>uthority may waive the obligation of any candidate or tenderer to submit the documentary evidence referred to above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candidate or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4988C191" w14:textId="77777777" w:rsidR="00D2239A" w:rsidRPr="00D2239A" w:rsidRDefault="00E75D8F" w:rsidP="00E75D8F">
      <w:pPr>
        <w:numPr>
          <w:ilvl w:val="0"/>
          <w:numId w:val="22"/>
        </w:numPr>
        <w:spacing w:before="120" w:after="120"/>
        <w:jc w:val="both"/>
        <w:rPr>
          <w:sz w:val="22"/>
          <w:szCs w:val="22"/>
        </w:rPr>
      </w:pPr>
      <w:r w:rsidRPr="00D2239A">
        <w:rPr>
          <w:b/>
          <w:sz w:val="22"/>
          <w:szCs w:val="22"/>
        </w:rPr>
        <w:t xml:space="preserve">A CV </w:t>
      </w:r>
      <w:r w:rsidR="00D2239A" w:rsidRPr="00D2239A">
        <w:rPr>
          <w:b/>
          <w:sz w:val="22"/>
          <w:szCs w:val="22"/>
        </w:rPr>
        <w:t xml:space="preserve">and list of reference </w:t>
      </w:r>
    </w:p>
    <w:p w14:paraId="59BAA8AE" w14:textId="1E76A20B" w:rsidR="00E75D8F" w:rsidRPr="00D2239A" w:rsidRDefault="00E75D8F" w:rsidP="00D2239A">
      <w:pPr>
        <w:spacing w:before="120" w:after="120"/>
        <w:jc w:val="both"/>
        <w:rPr>
          <w:sz w:val="22"/>
          <w:szCs w:val="22"/>
        </w:rPr>
      </w:pPr>
      <w:r w:rsidRPr="00D2239A">
        <w:rPr>
          <w:sz w:val="22"/>
          <w:szCs w:val="22"/>
        </w:rPr>
        <w:t xml:space="preserve">The CV should be no longer than 3 pages and only one CV must be provided for each position identified in the terms of reference. In case of CVs longer than 3 pages, only the first 3 pages will be taken into account. Only the work experience mentioned in the CV will be considered by the evaluation committee. Non-key experts CVs are not necessary. </w:t>
      </w:r>
    </w:p>
    <w:p w14:paraId="73C56706" w14:textId="0426AFCB" w:rsidR="00D2239A" w:rsidRPr="002B370E" w:rsidRDefault="00E75D8F" w:rsidP="00E75D8F">
      <w:pPr>
        <w:spacing w:before="120" w:after="120"/>
        <w:jc w:val="both"/>
        <w:rPr>
          <w:sz w:val="22"/>
          <w:szCs w:val="22"/>
        </w:rPr>
      </w:pPr>
      <w:r w:rsidRPr="00E75D8F">
        <w:rPr>
          <w:sz w:val="22"/>
          <w:szCs w:val="22"/>
        </w:rPr>
        <w:t>The qualifications and experience must clearly match the profiles indicated in the terms of reference. If an expert does not meet the minimum requirements for each evaluation criterion (i.e. qualification and skills, general professional experience and specific professional experience), he/she must be rejected. In such case the entire tender shall be rejected.</w:t>
      </w:r>
    </w:p>
    <w:p w14:paraId="31D6511D" w14:textId="77777777" w:rsidR="005F48E6" w:rsidRPr="002B370E" w:rsidRDefault="005F48E6" w:rsidP="005F48E6">
      <w:pPr>
        <w:spacing w:before="120" w:after="120"/>
        <w:jc w:val="both"/>
        <w:rPr>
          <w:sz w:val="22"/>
          <w:szCs w:val="22"/>
        </w:rPr>
      </w:pPr>
      <w:r w:rsidRPr="002B370E">
        <w:rPr>
          <w:sz w:val="22"/>
          <w:szCs w:val="22"/>
        </w:rPr>
        <w:t>Tenderers are reminded that the provision of false information in this tender procedure may lead to</w:t>
      </w:r>
      <w:r>
        <w:rPr>
          <w:sz w:val="22"/>
          <w:szCs w:val="22"/>
        </w:rPr>
        <w:t xml:space="preserve"> the rejection of their tender and to</w:t>
      </w:r>
      <w:r w:rsidRPr="002B370E">
        <w:rPr>
          <w:sz w:val="22"/>
          <w:szCs w:val="22"/>
        </w:rPr>
        <w:t xml:space="preserve"> their exclusion from</w:t>
      </w:r>
      <w:r>
        <w:rPr>
          <w:sz w:val="22"/>
          <w:szCs w:val="22"/>
        </w:rPr>
        <w:t xml:space="preserve"> </w:t>
      </w:r>
      <w:r w:rsidRPr="002B370E">
        <w:rPr>
          <w:sz w:val="22"/>
          <w:szCs w:val="22"/>
        </w:rPr>
        <w:t xml:space="preserve">EU-funded </w:t>
      </w:r>
      <w:r>
        <w:rPr>
          <w:sz w:val="22"/>
          <w:szCs w:val="22"/>
        </w:rPr>
        <w:t xml:space="preserve">procedures and </w:t>
      </w:r>
      <w:r w:rsidRPr="002B370E">
        <w:rPr>
          <w:sz w:val="22"/>
          <w:szCs w:val="22"/>
        </w:rPr>
        <w:t>contracts.</w:t>
      </w:r>
    </w:p>
    <w:p w14:paraId="2EC43A67" w14:textId="77777777" w:rsidR="003436FE" w:rsidRPr="002B370E" w:rsidRDefault="003436FE" w:rsidP="00010683">
      <w:pPr>
        <w:keepNext/>
        <w:spacing w:before="120" w:after="120"/>
        <w:ind w:left="567" w:hanging="567"/>
        <w:jc w:val="both"/>
        <w:rPr>
          <w:b/>
          <w:sz w:val="22"/>
          <w:szCs w:val="22"/>
        </w:rPr>
      </w:pPr>
      <w:r w:rsidRPr="002B370E">
        <w:rPr>
          <w:b/>
          <w:sz w:val="22"/>
          <w:szCs w:val="22"/>
        </w:rPr>
        <w:lastRenderedPageBreak/>
        <w:t>4.2</w:t>
      </w:r>
      <w:r w:rsidR="00010683">
        <w:rPr>
          <w:b/>
          <w:sz w:val="22"/>
          <w:szCs w:val="22"/>
        </w:rPr>
        <w:t>.</w:t>
      </w:r>
      <w:r w:rsidRPr="002B370E">
        <w:rPr>
          <w:b/>
          <w:sz w:val="22"/>
          <w:szCs w:val="22"/>
        </w:rPr>
        <w:tab/>
        <w:t>Financial offer</w:t>
      </w:r>
    </w:p>
    <w:p w14:paraId="7572F6BE" w14:textId="57B7DDFA" w:rsidR="008A7678" w:rsidRPr="008A7678" w:rsidRDefault="008A7678" w:rsidP="008A7678">
      <w:pPr>
        <w:shd w:val="clear" w:color="auto" w:fill="FFFFFF"/>
        <w:spacing w:before="120" w:after="120"/>
        <w:jc w:val="both"/>
        <w:rPr>
          <w:sz w:val="22"/>
          <w:szCs w:val="22"/>
        </w:rPr>
      </w:pPr>
      <w:r w:rsidRPr="008A7678">
        <w:rPr>
          <w:sz w:val="22"/>
          <w:szCs w:val="22"/>
        </w:rPr>
        <w:t xml:space="preserve">The financial offer must be presented as an amount in </w:t>
      </w:r>
      <w:r>
        <w:rPr>
          <w:sz w:val="22"/>
          <w:szCs w:val="22"/>
        </w:rPr>
        <w:t>Euro</w:t>
      </w:r>
      <w:r w:rsidRPr="008A7678">
        <w:rPr>
          <w:sz w:val="22"/>
          <w:szCs w:val="22"/>
        </w:rPr>
        <w:t xml:space="preserve"> and must be submitted using the template for the global-price version of Annex V to part B of this tender dossier. The electronic version of this document ‘B8 — Budget for a global-price contract’ can be found on the website:</w:t>
      </w:r>
    </w:p>
    <w:p w14:paraId="5670C937" w14:textId="77777777" w:rsidR="008A7678" w:rsidRPr="008A7678" w:rsidRDefault="00D4121D" w:rsidP="008A7678">
      <w:pPr>
        <w:rPr>
          <w:sz w:val="22"/>
          <w:szCs w:val="22"/>
        </w:rPr>
      </w:pPr>
      <w:hyperlink r:id="rId16" w:history="1">
        <w:r w:rsidR="008A7678" w:rsidRPr="008A7678">
          <w:rPr>
            <w:rStyle w:val="Hyperlink"/>
            <w:sz w:val="22"/>
            <w:szCs w:val="22"/>
          </w:rPr>
          <w:t>http://ec.europa.eu/europeaid/prag/document.do</w:t>
        </w:r>
      </w:hyperlink>
      <w:r w:rsidR="008A7678" w:rsidRPr="008A7678">
        <w:rPr>
          <w:sz w:val="22"/>
          <w:szCs w:val="22"/>
        </w:rPr>
        <w:t>.</w:t>
      </w:r>
    </w:p>
    <w:p w14:paraId="2E26479F" w14:textId="14A878DA" w:rsidR="003436FE" w:rsidRPr="002B370E" w:rsidRDefault="00C94CBF" w:rsidP="003436FE">
      <w:pPr>
        <w:shd w:val="clear" w:color="auto" w:fill="FFFFFF"/>
        <w:spacing w:before="120" w:after="120"/>
        <w:jc w:val="both"/>
        <w:rPr>
          <w:sz w:val="22"/>
          <w:szCs w:val="22"/>
        </w:rPr>
      </w:pPr>
      <w:r w:rsidRPr="0026737B">
        <w:rPr>
          <w:sz w:val="22"/>
          <w:szCs w:val="22"/>
        </w:rPr>
        <w:t>T</w:t>
      </w:r>
      <w:r w:rsidR="003436FE" w:rsidRPr="0026737B">
        <w:rPr>
          <w:sz w:val="22"/>
          <w:szCs w:val="22"/>
        </w:rPr>
        <w:t xml:space="preserve">he electronic version of the financial offer must be included with the printed version in the separate envelope in which the financial offer is submitted. If there are any discrepancies between the electronic version and the original, printed version, the latter will have precedence. Note that a schedule based on the ‘Estimated number of working days’ worksheet within this spreadsheet must be included as part of the </w:t>
      </w:r>
      <w:r w:rsidR="006D6595" w:rsidRPr="0026737B">
        <w:rPr>
          <w:sz w:val="22"/>
          <w:szCs w:val="22"/>
        </w:rPr>
        <w:t>o</w:t>
      </w:r>
      <w:r w:rsidR="003436FE" w:rsidRPr="0026737B">
        <w:rPr>
          <w:sz w:val="22"/>
          <w:szCs w:val="22"/>
        </w:rPr>
        <w:t xml:space="preserve">rganisation and </w:t>
      </w:r>
      <w:r w:rsidR="006D6595" w:rsidRPr="0026737B">
        <w:rPr>
          <w:sz w:val="22"/>
          <w:szCs w:val="22"/>
        </w:rPr>
        <w:t>m</w:t>
      </w:r>
      <w:r w:rsidR="003436FE" w:rsidRPr="0026737B">
        <w:rPr>
          <w:sz w:val="22"/>
          <w:szCs w:val="22"/>
        </w:rPr>
        <w:t>ethodology in the technical offer.</w:t>
      </w:r>
    </w:p>
    <w:p w14:paraId="0D9671C9" w14:textId="2FEB689E" w:rsidR="003436F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Pr="0029115A">
        <w:rPr>
          <w:sz w:val="22"/>
          <w:szCs w:val="22"/>
        </w:rPr>
        <w:t>EUR</w:t>
      </w:r>
      <w:r w:rsidR="0029115A">
        <w:rPr>
          <w:sz w:val="22"/>
          <w:szCs w:val="22"/>
        </w:rPr>
        <w:t xml:space="preserve"> 3.750</w:t>
      </w:r>
      <w:r w:rsidRPr="002B370E">
        <w:rPr>
          <w:sz w:val="22"/>
          <w:szCs w:val="22"/>
        </w:rPr>
        <w:t xml:space="preserve">. Payments under this contract will be made in </w:t>
      </w:r>
      <w:r w:rsidR="006F25A2">
        <w:rPr>
          <w:sz w:val="22"/>
          <w:szCs w:val="22"/>
        </w:rPr>
        <w:t xml:space="preserve">the </w:t>
      </w:r>
      <w:r w:rsidR="003942E2" w:rsidRPr="003942E2">
        <w:rPr>
          <w:sz w:val="22"/>
          <w:szCs w:val="22"/>
        </w:rPr>
        <w:t>MKD.</w:t>
      </w:r>
    </w:p>
    <w:p w14:paraId="0F4D43BA" w14:textId="77777777" w:rsidR="00D404A6" w:rsidRPr="002B370E" w:rsidRDefault="00D404A6" w:rsidP="00D404A6">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Pr>
          <w:sz w:val="22"/>
          <w:szCs w:val="22"/>
        </w:rPr>
        <w:t>s.</w:t>
      </w:r>
      <w:r w:rsidRPr="002B370E">
        <w:rPr>
          <w:sz w:val="22"/>
          <w:szCs w:val="22"/>
        </w:rPr>
        <w:t xml:space="preserve">  </w:t>
      </w:r>
    </w:p>
    <w:p w14:paraId="222BE122" w14:textId="77777777" w:rsidR="00D404A6" w:rsidRPr="002B370E" w:rsidRDefault="00D404A6" w:rsidP="00D404A6">
      <w:pPr>
        <w:shd w:val="clear" w:color="auto" w:fill="FFFFFF"/>
        <w:spacing w:before="120" w:after="120"/>
        <w:jc w:val="both"/>
        <w:rPr>
          <w:sz w:val="22"/>
          <w:szCs w:val="22"/>
          <w:u w:val="single"/>
        </w:rPr>
      </w:pPr>
      <w:r w:rsidRPr="002B370E">
        <w:rPr>
          <w:sz w:val="22"/>
          <w:szCs w:val="22"/>
          <w:u w:val="single"/>
        </w:rPr>
        <w:t>Exemption of taxes</w:t>
      </w:r>
    </w:p>
    <w:p w14:paraId="530C05F4" w14:textId="73359682" w:rsidR="00D404A6" w:rsidRPr="002B370E" w:rsidRDefault="00D404A6" w:rsidP="003436FE">
      <w:pPr>
        <w:shd w:val="clear" w:color="auto" w:fill="FFFFFF"/>
        <w:spacing w:before="120" w:after="120"/>
        <w:jc w:val="both"/>
        <w:rPr>
          <w:sz w:val="22"/>
          <w:szCs w:val="22"/>
        </w:rPr>
      </w:pPr>
      <w:r w:rsidRPr="00D404A6">
        <w:rPr>
          <w:sz w:val="22"/>
          <w:szCs w:val="22"/>
        </w:rPr>
        <w:t>There is no (full or partial) tax exemption agreement between the European Commission and</w:t>
      </w:r>
      <w:r>
        <w:rPr>
          <w:sz w:val="22"/>
          <w:szCs w:val="22"/>
        </w:rPr>
        <w:t xml:space="preserve"> </w:t>
      </w:r>
      <w:r w:rsidR="0081471C">
        <w:rPr>
          <w:sz w:val="22"/>
          <w:szCs w:val="22"/>
        </w:rPr>
        <w:t>Republic of North Macedonia</w:t>
      </w:r>
      <w:r>
        <w:rPr>
          <w:sz w:val="22"/>
          <w:szCs w:val="22"/>
        </w:rPr>
        <w:t>.</w:t>
      </w:r>
    </w:p>
    <w:p w14:paraId="7A998B95" w14:textId="77777777" w:rsidR="003436FE" w:rsidRPr="002B370E" w:rsidRDefault="003436FE" w:rsidP="00FE3D7D">
      <w:pPr>
        <w:keepNext/>
        <w:numPr>
          <w:ilvl w:val="0"/>
          <w:numId w:val="4"/>
        </w:numPr>
        <w:spacing w:before="120" w:after="120"/>
        <w:jc w:val="both"/>
        <w:rPr>
          <w:b/>
          <w:sz w:val="24"/>
          <w:szCs w:val="24"/>
        </w:rPr>
      </w:pPr>
      <w:r w:rsidRPr="002B370E">
        <w:rPr>
          <w:b/>
          <w:sz w:val="24"/>
          <w:szCs w:val="24"/>
        </w:rPr>
        <w:t>Variant solutions</w:t>
      </w:r>
    </w:p>
    <w:p w14:paraId="6F8CCFBB" w14:textId="77777777" w:rsidR="003436FE" w:rsidRPr="002B370E" w:rsidRDefault="003436FE" w:rsidP="003436FE">
      <w:pPr>
        <w:spacing w:before="120" w:after="120"/>
        <w:rPr>
          <w:sz w:val="22"/>
          <w:szCs w:val="22"/>
        </w:rPr>
      </w:pPr>
      <w:r w:rsidRPr="002C0C3A">
        <w:rPr>
          <w:sz w:val="22"/>
          <w:szCs w:val="22"/>
        </w:rPr>
        <w:t>Tenderers</w:t>
      </w:r>
      <w:r w:rsidR="009D25DC" w:rsidRPr="00D54FCF">
        <w:rPr>
          <w:sz w:val="22"/>
          <w:szCs w:val="22"/>
        </w:rPr>
        <w:t xml:space="preserve"> </w:t>
      </w:r>
      <w:r w:rsidRPr="00D54FCF">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080A3BD6" w14:textId="77777777" w:rsidR="003436FE" w:rsidRPr="002B370E" w:rsidRDefault="003436FE" w:rsidP="00FE3D7D">
      <w:pPr>
        <w:keepNext/>
        <w:keepLines/>
        <w:numPr>
          <w:ilvl w:val="0"/>
          <w:numId w:val="4"/>
        </w:numPr>
        <w:spacing w:before="120" w:after="120"/>
        <w:jc w:val="both"/>
        <w:rPr>
          <w:b/>
          <w:sz w:val="24"/>
          <w:szCs w:val="24"/>
        </w:rPr>
      </w:pPr>
      <w:r w:rsidRPr="002B370E">
        <w:rPr>
          <w:b/>
          <w:sz w:val="24"/>
          <w:szCs w:val="24"/>
        </w:rPr>
        <w:t>Period during which tenders are binding</w:t>
      </w:r>
    </w:p>
    <w:p w14:paraId="0BA640CF" w14:textId="022F60CB"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14:paraId="0411044B" w14:textId="77777777" w:rsidR="003436FE" w:rsidRPr="002B370E" w:rsidRDefault="003436FE" w:rsidP="0009366A">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sidR="0009366A">
        <w:rPr>
          <w:sz w:val="22"/>
          <w:szCs w:val="22"/>
        </w:rPr>
        <w:t>This</w:t>
      </w:r>
      <w:r w:rsidR="0009366A" w:rsidRPr="002B370E">
        <w:rPr>
          <w:sz w:val="22"/>
          <w:szCs w:val="22"/>
        </w:rPr>
        <w:t xml:space="preserve"> </w:t>
      </w:r>
      <w:r w:rsidR="00FC3DFA">
        <w:rPr>
          <w:sz w:val="22"/>
          <w:szCs w:val="22"/>
        </w:rPr>
        <w:t>60-day</w:t>
      </w:r>
      <w:r w:rsidR="00FC3DFA" w:rsidRPr="002B370E">
        <w:rPr>
          <w:sz w:val="22"/>
          <w:szCs w:val="22"/>
        </w:rPr>
        <w:t xml:space="preserve"> </w:t>
      </w:r>
      <w:r w:rsidRPr="002B370E">
        <w:rPr>
          <w:sz w:val="22"/>
          <w:szCs w:val="22"/>
        </w:rPr>
        <w:t>period is added to the validity period irrespective of the date of notification</w:t>
      </w:r>
      <w:r w:rsidRPr="00FC3DFA">
        <w:rPr>
          <w:sz w:val="22"/>
          <w:szCs w:val="22"/>
        </w:rPr>
        <w:t>.</w:t>
      </w:r>
      <w:r w:rsidR="00FC3DFA" w:rsidRPr="000E38EE">
        <w:rPr>
          <w:sz w:val="20"/>
        </w:rPr>
        <w:t xml:space="preserve"> </w:t>
      </w:r>
      <w:r w:rsidR="00FC3DFA" w:rsidRPr="00FC3DFA">
        <w:rPr>
          <w:sz w:val="22"/>
          <w:szCs w:val="22"/>
        </w:rPr>
        <w:t>This period can be further extended when the contracting authority</w:t>
      </w:r>
      <w:r w:rsidR="00FC3DFA">
        <w:rPr>
          <w:sz w:val="22"/>
          <w:szCs w:val="22"/>
        </w:rPr>
        <w:t xml:space="preserve"> </w:t>
      </w:r>
      <w:r w:rsidR="00FC3DFA" w:rsidRPr="00FC3DFA">
        <w:rPr>
          <w:sz w:val="22"/>
          <w:szCs w:val="22"/>
        </w:rPr>
        <w:t xml:space="preserve">is required to obtain the recommendation of the panel referred to in </w:t>
      </w:r>
      <w:r w:rsidR="006D6595">
        <w:rPr>
          <w:sz w:val="22"/>
          <w:szCs w:val="22"/>
        </w:rPr>
        <w:t>S</w:t>
      </w:r>
      <w:r w:rsidR="00FC3DFA" w:rsidRPr="00FC3DFA">
        <w:rPr>
          <w:sz w:val="22"/>
          <w:szCs w:val="22"/>
        </w:rPr>
        <w:t>ection 2.</w:t>
      </w:r>
      <w:r w:rsidR="00B16907">
        <w:rPr>
          <w:sz w:val="22"/>
          <w:szCs w:val="22"/>
        </w:rPr>
        <w:t>6</w:t>
      </w:r>
      <w:r w:rsidR="00FC3DFA" w:rsidRPr="00FC3DFA">
        <w:rPr>
          <w:sz w:val="22"/>
          <w:szCs w:val="22"/>
        </w:rPr>
        <w:t>.</w:t>
      </w:r>
      <w:r w:rsidR="00B16907">
        <w:rPr>
          <w:sz w:val="22"/>
          <w:szCs w:val="22"/>
        </w:rPr>
        <w:t>10</w:t>
      </w:r>
      <w:r w:rsidR="00FC3DFA" w:rsidRPr="00FC3DFA">
        <w:rPr>
          <w:sz w:val="22"/>
          <w:szCs w:val="22"/>
        </w:rPr>
        <w:t>.</w:t>
      </w:r>
      <w:r w:rsidR="00B16907">
        <w:rPr>
          <w:sz w:val="22"/>
          <w:szCs w:val="22"/>
        </w:rPr>
        <w:t>1.1</w:t>
      </w:r>
      <w:r w:rsidR="00FC3DFA" w:rsidRPr="00FC3DFA">
        <w:rPr>
          <w:sz w:val="22"/>
          <w:szCs w:val="22"/>
        </w:rPr>
        <w:t xml:space="preserve"> of the </w:t>
      </w:r>
      <w:r w:rsidR="00B16907">
        <w:rPr>
          <w:sz w:val="22"/>
          <w:szCs w:val="22"/>
        </w:rPr>
        <w:t>p</w:t>
      </w:r>
      <w:r w:rsidR="00FC3DFA" w:rsidRPr="00FC3DFA">
        <w:rPr>
          <w:sz w:val="22"/>
          <w:szCs w:val="22"/>
        </w:rPr>
        <w:t xml:space="preserve">ractical </w:t>
      </w:r>
      <w:r w:rsidR="00B16907">
        <w:rPr>
          <w:sz w:val="22"/>
          <w:szCs w:val="22"/>
        </w:rPr>
        <w:t>g</w:t>
      </w:r>
      <w:r w:rsidR="00FC3DFA" w:rsidRPr="00FC3DFA">
        <w:rPr>
          <w:sz w:val="22"/>
          <w:szCs w:val="22"/>
        </w:rPr>
        <w:t>uide, up to the adoption of that recommendation.</w:t>
      </w:r>
    </w:p>
    <w:p w14:paraId="1BDE627A" w14:textId="77777777" w:rsidR="003436FE" w:rsidRPr="002B370E" w:rsidRDefault="003436FE" w:rsidP="00FE3D7D">
      <w:pPr>
        <w:keepNext/>
        <w:numPr>
          <w:ilvl w:val="0"/>
          <w:numId w:val="4"/>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D74A2C2" w14:textId="4845F28E" w:rsidR="003436FE" w:rsidRDefault="003436FE" w:rsidP="003436FE">
      <w:pPr>
        <w:spacing w:before="120" w:after="120"/>
        <w:jc w:val="both"/>
        <w:rPr>
          <w:sz w:val="22"/>
          <w:szCs w:val="22"/>
        </w:rPr>
      </w:pPr>
      <w:r w:rsidRPr="002B370E">
        <w:rPr>
          <w:sz w:val="22"/>
          <w:szCs w:val="22"/>
        </w:rPr>
        <w:t xml:space="preserve">The tender dossier should be clear enough to avoid candidates having to request additional information during the procedure. </w:t>
      </w:r>
      <w:r w:rsidR="00906BE1" w:rsidRPr="00906BE1">
        <w:rPr>
          <w:sz w:val="22"/>
          <w:szCs w:val="22"/>
        </w:rPr>
        <w:t>If the contracting authority, either on its own initiative or in response to a request from a tenderer, provides additional information on the tender dossier, it must send such information in writing to all the tenderers at the same time.</w:t>
      </w:r>
    </w:p>
    <w:p w14:paraId="41B27754" w14:textId="76B5A456" w:rsidR="00906BE1" w:rsidRPr="00906BE1" w:rsidRDefault="00906BE1" w:rsidP="00906BE1">
      <w:pPr>
        <w:spacing w:before="120" w:after="120"/>
        <w:jc w:val="both"/>
        <w:rPr>
          <w:sz w:val="22"/>
          <w:szCs w:val="22"/>
        </w:rPr>
      </w:pPr>
      <w:r w:rsidRPr="00906BE1">
        <w:rPr>
          <w:sz w:val="22"/>
          <w:szCs w:val="22"/>
        </w:rPr>
        <w:t>Tenderers may submit questions at the following e-mail:</w:t>
      </w:r>
      <w:r w:rsidR="00E12FE4">
        <w:rPr>
          <w:sz w:val="22"/>
          <w:szCs w:val="22"/>
        </w:rPr>
        <w:t xml:space="preserve"> nabavki@financethink.mk up to </w:t>
      </w:r>
      <w:r w:rsidR="008A7678">
        <w:rPr>
          <w:sz w:val="22"/>
          <w:szCs w:val="22"/>
        </w:rPr>
        <w:t>10.05.2021</w:t>
      </w:r>
      <w:r w:rsidRPr="00906BE1">
        <w:rPr>
          <w:sz w:val="22"/>
          <w:szCs w:val="22"/>
        </w:rPr>
        <w:t>. Specifying the publication r</w:t>
      </w:r>
      <w:r w:rsidR="00E12FE4">
        <w:rPr>
          <w:sz w:val="22"/>
          <w:szCs w:val="22"/>
        </w:rPr>
        <w:t>eference and the contract title.</w:t>
      </w:r>
      <w:r w:rsidRPr="00906BE1">
        <w:rPr>
          <w:sz w:val="22"/>
          <w:szCs w:val="22"/>
        </w:rPr>
        <w:t xml:space="preserve"> </w:t>
      </w:r>
    </w:p>
    <w:p w14:paraId="5C5B6984" w14:textId="7698A0A3" w:rsidR="00906BE1" w:rsidRPr="002B370E" w:rsidRDefault="00906BE1" w:rsidP="00906BE1">
      <w:pPr>
        <w:spacing w:before="120" w:after="120"/>
        <w:jc w:val="both"/>
        <w:rPr>
          <w:sz w:val="22"/>
          <w:szCs w:val="22"/>
        </w:rPr>
      </w:pPr>
      <w:r w:rsidRPr="00906BE1">
        <w:rPr>
          <w:sz w:val="22"/>
          <w:szCs w:val="22"/>
        </w:rPr>
        <w:t>The contracting authority has no obligation to provide clarification after this date.</w:t>
      </w:r>
    </w:p>
    <w:p w14:paraId="6A12898C" w14:textId="36D9DFA4" w:rsidR="003436FE" w:rsidRDefault="00906BE1" w:rsidP="003436FE">
      <w:pPr>
        <w:pStyle w:val="BodyText"/>
        <w:spacing w:before="120" w:after="120"/>
        <w:jc w:val="both"/>
        <w:rPr>
          <w:sz w:val="22"/>
          <w:szCs w:val="22"/>
        </w:rPr>
      </w:pPr>
      <w:r w:rsidRPr="00906BE1">
        <w:rPr>
          <w:sz w:val="22"/>
          <w:szCs w:val="22"/>
        </w:rPr>
        <w:t>Any tenderer seeking to arrange individual meetings with the contracting authority concerning this contract during the tender period may be exc</w:t>
      </w:r>
      <w:r w:rsidR="00032480">
        <w:rPr>
          <w:sz w:val="22"/>
          <w:szCs w:val="22"/>
        </w:rPr>
        <w:t>luded from the tender procedure</w:t>
      </w:r>
      <w:r w:rsidR="003436FE" w:rsidRPr="002B370E">
        <w:rPr>
          <w:sz w:val="22"/>
          <w:szCs w:val="22"/>
        </w:rPr>
        <w:t>.</w:t>
      </w:r>
    </w:p>
    <w:p w14:paraId="30C52009" w14:textId="404F67F6" w:rsidR="00906BE1" w:rsidRPr="002B370E" w:rsidRDefault="00906BE1" w:rsidP="003436FE">
      <w:pPr>
        <w:pStyle w:val="BodyText"/>
        <w:spacing w:before="120" w:after="120"/>
        <w:jc w:val="both"/>
        <w:rPr>
          <w:sz w:val="22"/>
          <w:szCs w:val="22"/>
        </w:rPr>
      </w:pPr>
      <w:r w:rsidRPr="00906BE1">
        <w:rPr>
          <w:sz w:val="22"/>
          <w:szCs w:val="22"/>
        </w:rPr>
        <w:t>No information meeting or site visit is foreseen.</w:t>
      </w:r>
    </w:p>
    <w:p w14:paraId="7C1A67F8" w14:textId="77777777" w:rsidR="003436FE" w:rsidRPr="002B370E" w:rsidRDefault="003436FE" w:rsidP="00FE3D7D">
      <w:pPr>
        <w:keepNext/>
        <w:numPr>
          <w:ilvl w:val="0"/>
          <w:numId w:val="4"/>
        </w:numPr>
        <w:spacing w:before="120" w:after="120"/>
        <w:jc w:val="both"/>
        <w:rPr>
          <w:b/>
          <w:sz w:val="24"/>
          <w:szCs w:val="24"/>
        </w:rPr>
      </w:pPr>
      <w:bookmarkStart w:id="4" w:name="_Ref499614274"/>
      <w:bookmarkStart w:id="5" w:name="_Ref499982672"/>
      <w:r w:rsidRPr="002B370E">
        <w:rPr>
          <w:b/>
          <w:sz w:val="24"/>
          <w:szCs w:val="24"/>
        </w:rPr>
        <w:t>Submission of tenders</w:t>
      </w:r>
      <w:bookmarkEnd w:id="4"/>
      <w:bookmarkEnd w:id="5"/>
    </w:p>
    <w:p w14:paraId="1C139766" w14:textId="70F1A4A2" w:rsidR="003436FE" w:rsidRPr="002B370E" w:rsidRDefault="003436FE" w:rsidP="009F5AE6">
      <w:pPr>
        <w:jc w:val="both"/>
        <w:rPr>
          <w:sz w:val="22"/>
          <w:szCs w:val="22"/>
        </w:rPr>
      </w:pPr>
      <w:r w:rsidRPr="008A7678">
        <w:rPr>
          <w:sz w:val="22"/>
          <w:szCs w:val="22"/>
        </w:rPr>
        <w:t xml:space="preserve">Tenders must be </w:t>
      </w:r>
      <w:r w:rsidR="00883936" w:rsidRPr="008A7678">
        <w:rPr>
          <w:sz w:val="22"/>
          <w:szCs w:val="22"/>
        </w:rPr>
        <w:t xml:space="preserve">sent </w:t>
      </w:r>
      <w:r w:rsidR="001B53F1" w:rsidRPr="008A7678">
        <w:rPr>
          <w:sz w:val="22"/>
          <w:szCs w:val="22"/>
        </w:rPr>
        <w:t xml:space="preserve">to the </w:t>
      </w:r>
      <w:r w:rsidR="00B16907" w:rsidRPr="008A7678">
        <w:rPr>
          <w:sz w:val="22"/>
          <w:szCs w:val="22"/>
        </w:rPr>
        <w:t>c</w:t>
      </w:r>
      <w:r w:rsidR="001B53F1" w:rsidRPr="008A7678">
        <w:rPr>
          <w:sz w:val="22"/>
          <w:szCs w:val="22"/>
        </w:rPr>
        <w:t xml:space="preserve">ontracting </w:t>
      </w:r>
      <w:r w:rsidR="00B16907" w:rsidRPr="008A7678">
        <w:rPr>
          <w:sz w:val="22"/>
          <w:szCs w:val="22"/>
        </w:rPr>
        <w:t>a</w:t>
      </w:r>
      <w:r w:rsidR="001B53F1" w:rsidRPr="008A7678">
        <w:rPr>
          <w:sz w:val="22"/>
          <w:szCs w:val="22"/>
        </w:rPr>
        <w:t xml:space="preserve">uthority </w:t>
      </w:r>
      <w:r w:rsidRPr="008A7678">
        <w:rPr>
          <w:sz w:val="22"/>
          <w:szCs w:val="22"/>
        </w:rPr>
        <w:t xml:space="preserve">before </w:t>
      </w:r>
      <w:r w:rsidR="008A7678" w:rsidRPr="008A7678">
        <w:rPr>
          <w:sz w:val="22"/>
          <w:szCs w:val="22"/>
        </w:rPr>
        <w:t>28.05.2021, 16:00</w:t>
      </w:r>
      <w:r w:rsidRPr="008A7678">
        <w:rPr>
          <w:sz w:val="22"/>
          <w:szCs w:val="22"/>
        </w:rPr>
        <w:t>. They must include the requested documents in clause 4 above and be sent:</w:t>
      </w:r>
    </w:p>
    <w:p w14:paraId="36A3D2BC" w14:textId="77777777" w:rsidR="003436FE" w:rsidRPr="002B370E" w:rsidRDefault="003436FE" w:rsidP="00FE3D7D">
      <w:pPr>
        <w:keepNext/>
        <w:keepLines/>
        <w:numPr>
          <w:ilvl w:val="0"/>
          <w:numId w:val="9"/>
        </w:numPr>
        <w:spacing w:before="120" w:after="120"/>
        <w:jc w:val="both"/>
        <w:rPr>
          <w:sz w:val="22"/>
          <w:szCs w:val="22"/>
        </w:rPr>
      </w:pPr>
      <w:r w:rsidRPr="002B370E">
        <w:rPr>
          <w:b/>
          <w:sz w:val="22"/>
          <w:szCs w:val="22"/>
        </w:rPr>
        <w:lastRenderedPageBreak/>
        <w:t>EITHER</w:t>
      </w:r>
      <w:r w:rsidRPr="002B370E">
        <w:rPr>
          <w:sz w:val="22"/>
          <w:szCs w:val="22"/>
        </w:rPr>
        <w:t xml:space="preserve"> by</w:t>
      </w:r>
      <w:r w:rsidR="003E033C" w:rsidRPr="005A61EC">
        <w:rPr>
          <w:sz w:val="22"/>
          <w:szCs w:val="22"/>
        </w:rPr>
        <w:t xml:space="preserve"> post or by courier service, in which case the evidence shall be constituted by the postmark or the date of the deposit slip</w:t>
      </w:r>
      <w:r w:rsidR="00883936">
        <w:rPr>
          <w:rStyle w:val="FootnoteReference"/>
          <w:sz w:val="22"/>
          <w:szCs w:val="22"/>
        </w:rPr>
        <w:footnoteReference w:id="2"/>
      </w:r>
      <w:r w:rsidR="003E033C">
        <w:rPr>
          <w:sz w:val="22"/>
          <w:szCs w:val="22"/>
        </w:rPr>
        <w:t xml:space="preserve">, </w:t>
      </w:r>
      <w:r w:rsidRPr="002B370E">
        <w:rPr>
          <w:sz w:val="22"/>
          <w:szCs w:val="22"/>
        </w:rPr>
        <w:t>to:</w:t>
      </w:r>
    </w:p>
    <w:p w14:paraId="5E2EF67C" w14:textId="02DB10A8" w:rsidR="00DE7DF1" w:rsidRPr="008A7678" w:rsidRDefault="00DE7DF1" w:rsidP="008A7678">
      <w:pPr>
        <w:pStyle w:val="Blockquote"/>
        <w:keepNext/>
        <w:keepLines/>
        <w:spacing w:before="0" w:after="120"/>
        <w:ind w:left="720" w:right="357"/>
        <w:jc w:val="center"/>
        <w:rPr>
          <w:snapToGrid/>
          <w:sz w:val="22"/>
          <w:szCs w:val="22"/>
          <w:lang w:val="en-GB" w:eastAsia="en-GB"/>
        </w:rPr>
      </w:pPr>
      <w:r w:rsidRPr="008A7678">
        <w:rPr>
          <w:snapToGrid/>
          <w:sz w:val="22"/>
          <w:szCs w:val="22"/>
          <w:lang w:val="en-GB" w:eastAsia="en-GB"/>
        </w:rPr>
        <w:t>Finance Think - Economic Research and Policy Institute, Skopje</w:t>
      </w:r>
    </w:p>
    <w:p w14:paraId="4EFFA381" w14:textId="291AAFC2" w:rsidR="00DE7DF1" w:rsidRPr="008A7678" w:rsidRDefault="00DE7DF1" w:rsidP="008A7678">
      <w:pPr>
        <w:pStyle w:val="Blockquote"/>
        <w:keepNext/>
        <w:keepLines/>
        <w:spacing w:before="0" w:after="120"/>
        <w:ind w:right="357"/>
        <w:jc w:val="center"/>
        <w:rPr>
          <w:snapToGrid/>
          <w:sz w:val="22"/>
          <w:szCs w:val="22"/>
          <w:lang w:val="en-GB" w:eastAsia="en-GB"/>
        </w:rPr>
      </w:pPr>
      <w:proofErr w:type="gramStart"/>
      <w:r w:rsidRPr="008A7678">
        <w:rPr>
          <w:snapToGrid/>
          <w:sz w:val="22"/>
          <w:szCs w:val="22"/>
          <w:lang w:val="en-GB" w:eastAsia="en-GB"/>
        </w:rPr>
        <w:t>str</w:t>
      </w:r>
      <w:proofErr w:type="gramEnd"/>
      <w:r w:rsidRPr="008A7678">
        <w:rPr>
          <w:snapToGrid/>
          <w:sz w:val="22"/>
          <w:szCs w:val="22"/>
          <w:lang w:val="en-GB" w:eastAsia="en-GB"/>
        </w:rPr>
        <w:t xml:space="preserve">. Frederik </w:t>
      </w:r>
      <w:proofErr w:type="spellStart"/>
      <w:r w:rsidRPr="008A7678">
        <w:rPr>
          <w:snapToGrid/>
          <w:sz w:val="22"/>
          <w:szCs w:val="22"/>
          <w:lang w:val="en-GB" w:eastAsia="en-GB"/>
        </w:rPr>
        <w:t>Shopen</w:t>
      </w:r>
      <w:proofErr w:type="spellEnd"/>
      <w:r w:rsidRPr="008A7678">
        <w:rPr>
          <w:snapToGrid/>
          <w:sz w:val="22"/>
          <w:szCs w:val="22"/>
          <w:lang w:val="en-GB" w:eastAsia="en-GB"/>
        </w:rPr>
        <w:t xml:space="preserve"> 1/2, 1000 Skopje, North Macedonia</w:t>
      </w:r>
    </w:p>
    <w:p w14:paraId="1775B5A8" w14:textId="40306747" w:rsidR="003436FE" w:rsidRPr="002B370E" w:rsidRDefault="003436FE" w:rsidP="00FE3D7D">
      <w:pPr>
        <w:pStyle w:val="Blockquote"/>
        <w:keepNext/>
        <w:keepLines/>
        <w:numPr>
          <w:ilvl w:val="0"/>
          <w:numId w:val="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3E033C" w:rsidRPr="005A61EC">
        <w:rPr>
          <w:sz w:val="22"/>
          <w:szCs w:val="22"/>
          <w:lang w:val="en-GB"/>
        </w:rPr>
        <w:t>by the participant in person or by an agent</w:t>
      </w:r>
      <w:r w:rsidR="003E033C" w:rsidRPr="00D225CC">
        <w:rPr>
          <w:rStyle w:val="Strong"/>
          <w:b w:val="0"/>
          <w:sz w:val="22"/>
          <w:szCs w:val="22"/>
          <w:lang w:val="en-GB"/>
        </w:rPr>
        <w:t xml:space="preserve"> directly</w:t>
      </w:r>
      <w:r w:rsidR="003E033C" w:rsidRPr="00D225CC">
        <w:rPr>
          <w:sz w:val="22"/>
          <w:szCs w:val="22"/>
          <w:lang w:val="en-GB"/>
        </w:rPr>
        <w:t xml:space="preserve"> to</w:t>
      </w:r>
      <w:r w:rsidR="003E033C">
        <w:rPr>
          <w:sz w:val="22"/>
          <w:szCs w:val="22"/>
          <w:lang w:val="en-GB"/>
        </w:rPr>
        <w:t xml:space="preserve"> the premises of</w:t>
      </w:r>
      <w:r w:rsidR="003E033C" w:rsidRPr="00D225CC">
        <w:rPr>
          <w:sz w:val="22"/>
          <w:szCs w:val="22"/>
          <w:lang w:val="en-GB"/>
        </w:rPr>
        <w:t xml:space="preserve"> the </w:t>
      </w:r>
      <w:r w:rsidR="003E033C">
        <w:rPr>
          <w:sz w:val="22"/>
          <w:szCs w:val="22"/>
          <w:lang w:val="en-GB"/>
        </w:rPr>
        <w:t>c</w:t>
      </w:r>
      <w:r w:rsidR="003E033C" w:rsidRPr="00D225CC">
        <w:rPr>
          <w:sz w:val="22"/>
          <w:szCs w:val="22"/>
          <w:lang w:val="en-GB"/>
        </w:rPr>
        <w:t xml:space="preserve">ontracting </w:t>
      </w:r>
      <w:r w:rsidR="003E033C">
        <w:rPr>
          <w:sz w:val="22"/>
          <w:szCs w:val="22"/>
          <w:lang w:val="en-GB"/>
        </w:rPr>
        <w:t>a</w:t>
      </w:r>
      <w:r w:rsidR="003E033C" w:rsidRPr="00D225CC">
        <w:rPr>
          <w:sz w:val="22"/>
          <w:szCs w:val="22"/>
          <w:lang w:val="en-GB"/>
        </w:rPr>
        <w:t>uthority</w:t>
      </w:r>
      <w:r w:rsidR="003E033C" w:rsidRPr="005A61EC">
        <w:rPr>
          <w:sz w:val="22"/>
          <w:szCs w:val="22"/>
          <w:lang w:val="en-GB"/>
        </w:rPr>
        <w:t xml:space="preserve"> </w:t>
      </w:r>
      <w:r w:rsidR="003E033C" w:rsidRPr="00D225CC">
        <w:rPr>
          <w:sz w:val="22"/>
          <w:szCs w:val="22"/>
          <w:lang w:val="en-GB"/>
        </w:rPr>
        <w:t xml:space="preserve">in return for a </w:t>
      </w:r>
      <w:r w:rsidR="003E033C" w:rsidRPr="00D225CC">
        <w:rPr>
          <w:rStyle w:val="Strong"/>
          <w:b w:val="0"/>
          <w:sz w:val="22"/>
          <w:szCs w:val="22"/>
          <w:lang w:val="en-GB"/>
        </w:rPr>
        <w:t>signed and dated receipt</w:t>
      </w:r>
      <w:r w:rsidR="003E033C" w:rsidRPr="005A61EC">
        <w:rPr>
          <w:sz w:val="22"/>
          <w:szCs w:val="22"/>
          <w:lang w:val="en-GB"/>
        </w:rPr>
        <w:t>, in which case the evid</w:t>
      </w:r>
      <w:r w:rsidR="003E033C">
        <w:rPr>
          <w:sz w:val="22"/>
          <w:szCs w:val="22"/>
          <w:lang w:val="en-GB"/>
        </w:rPr>
        <w:t xml:space="preserve">ence shall be constituted by this acknowledgement of receipt, </w:t>
      </w:r>
      <w:r w:rsidRPr="002B370E">
        <w:rPr>
          <w:sz w:val="22"/>
          <w:szCs w:val="22"/>
        </w:rPr>
        <w:t>to:</w:t>
      </w:r>
    </w:p>
    <w:p w14:paraId="0DA999A2" w14:textId="77777777" w:rsidR="00DE7DF1" w:rsidRPr="008A7678" w:rsidRDefault="00DE7DF1" w:rsidP="008A7678">
      <w:pPr>
        <w:pStyle w:val="Blockquote"/>
        <w:keepNext/>
        <w:keepLines/>
        <w:spacing w:before="0" w:after="120"/>
        <w:ind w:left="720" w:right="357"/>
        <w:jc w:val="center"/>
        <w:rPr>
          <w:snapToGrid/>
          <w:sz w:val="22"/>
          <w:szCs w:val="22"/>
          <w:lang w:val="en-GB" w:eastAsia="en-GB"/>
        </w:rPr>
      </w:pPr>
      <w:r w:rsidRPr="008A7678">
        <w:rPr>
          <w:snapToGrid/>
          <w:sz w:val="22"/>
          <w:szCs w:val="22"/>
          <w:lang w:val="en-GB" w:eastAsia="en-GB"/>
        </w:rPr>
        <w:t xml:space="preserve">Finance Think - Economic Research and Policy Institute, Skopje </w:t>
      </w:r>
    </w:p>
    <w:p w14:paraId="0A35AD0A" w14:textId="41956C42" w:rsidR="00DE7DF1" w:rsidRPr="008A7678" w:rsidRDefault="00DE7DF1" w:rsidP="008A7678">
      <w:pPr>
        <w:pStyle w:val="Blockquote"/>
        <w:keepNext/>
        <w:keepLines/>
        <w:spacing w:before="0" w:after="120"/>
        <w:ind w:left="720" w:right="357"/>
        <w:jc w:val="center"/>
        <w:rPr>
          <w:snapToGrid/>
          <w:sz w:val="22"/>
          <w:szCs w:val="22"/>
          <w:lang w:val="en-GB" w:eastAsia="en-GB"/>
        </w:rPr>
      </w:pPr>
      <w:proofErr w:type="gramStart"/>
      <w:r w:rsidRPr="008A7678">
        <w:rPr>
          <w:snapToGrid/>
          <w:sz w:val="22"/>
          <w:szCs w:val="22"/>
          <w:lang w:val="en-GB" w:eastAsia="en-GB"/>
        </w:rPr>
        <w:t>str</w:t>
      </w:r>
      <w:proofErr w:type="gramEnd"/>
      <w:r w:rsidRPr="008A7678">
        <w:rPr>
          <w:snapToGrid/>
          <w:sz w:val="22"/>
          <w:szCs w:val="22"/>
          <w:lang w:val="en-GB" w:eastAsia="en-GB"/>
        </w:rPr>
        <w:t xml:space="preserve">. Frederik </w:t>
      </w:r>
      <w:proofErr w:type="spellStart"/>
      <w:r w:rsidRPr="008A7678">
        <w:rPr>
          <w:snapToGrid/>
          <w:sz w:val="22"/>
          <w:szCs w:val="22"/>
          <w:lang w:val="en-GB" w:eastAsia="en-GB"/>
        </w:rPr>
        <w:t>Shopen</w:t>
      </w:r>
      <w:proofErr w:type="spellEnd"/>
      <w:r w:rsidRPr="008A7678">
        <w:rPr>
          <w:snapToGrid/>
          <w:sz w:val="22"/>
          <w:szCs w:val="22"/>
          <w:lang w:val="en-GB" w:eastAsia="en-GB"/>
        </w:rPr>
        <w:t xml:space="preserve"> 1/2, 1000 Skopje, North Macedonia</w:t>
      </w:r>
    </w:p>
    <w:p w14:paraId="3231A3E6" w14:textId="290E20D9" w:rsidR="007F7A0E" w:rsidRPr="00F97932" w:rsidRDefault="00743575" w:rsidP="00FE3D7D">
      <w:pPr>
        <w:pStyle w:val="Blockquote"/>
        <w:numPr>
          <w:ilvl w:val="0"/>
          <w:numId w:val="9"/>
        </w:numPr>
        <w:ind w:right="26"/>
        <w:jc w:val="both"/>
        <w:rPr>
          <w:rStyle w:val="Strong"/>
          <w:b w:val="0"/>
          <w:sz w:val="22"/>
          <w:szCs w:val="22"/>
          <w:lang w:val="en-GB"/>
        </w:rPr>
      </w:pPr>
      <w:r>
        <w:rPr>
          <w:sz w:val="22"/>
          <w:szCs w:val="22"/>
          <w:lang w:val="en-GB"/>
        </w:rPr>
        <w:t xml:space="preserve">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w:t>
      </w:r>
      <w:proofErr w:type="gramStart"/>
      <w:r>
        <w:rPr>
          <w:sz w:val="22"/>
          <w:szCs w:val="22"/>
          <w:lang w:val="en-GB"/>
        </w:rPr>
        <w:t>procedure</w:t>
      </w:r>
      <w:r w:rsidR="00B862E7">
        <w:rPr>
          <w:sz w:val="22"/>
          <w:szCs w:val="22"/>
          <w:lang w:val="en-GB"/>
        </w:rPr>
        <w:t xml:space="preserve"> </w:t>
      </w:r>
      <w:r>
        <w:rPr>
          <w:sz w:val="22"/>
          <w:szCs w:val="22"/>
          <w:lang w:val="en-GB"/>
        </w:rPr>
        <w:t xml:space="preserve"> or</w:t>
      </w:r>
      <w:proofErr w:type="gramEnd"/>
      <w:r>
        <w:rPr>
          <w:sz w:val="22"/>
          <w:szCs w:val="22"/>
          <w:lang w:val="en-GB"/>
        </w:rPr>
        <w:t xml:space="preserve"> jeopardise decisions already taken and notified.</w:t>
      </w:r>
    </w:p>
    <w:p w14:paraId="2CFE583A" w14:textId="28788B2F" w:rsidR="003436FE" w:rsidRPr="002B370E" w:rsidRDefault="003436FE" w:rsidP="003436FE">
      <w:pPr>
        <w:spacing w:before="120" w:after="120"/>
        <w:jc w:val="both"/>
        <w:rPr>
          <w:sz w:val="22"/>
          <w:szCs w:val="22"/>
        </w:rPr>
      </w:pPr>
      <w:r w:rsidRPr="002B370E">
        <w:rPr>
          <w:rStyle w:val="Strong"/>
          <w:sz w:val="22"/>
          <w:szCs w:val="22"/>
        </w:rPr>
        <w:t xml:space="preserve"> </w:t>
      </w: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230A4D">
        <w:rPr>
          <w:sz w:val="22"/>
          <w:szCs w:val="22"/>
        </w:rPr>
        <w:t>t</w:t>
      </w:r>
      <w:r w:rsidRPr="002B370E">
        <w:rPr>
          <w:sz w:val="22"/>
          <w:szCs w:val="22"/>
        </w:rPr>
        <w:t>ender submission form, statements of exclusivity and availability of the key experts and declarations).</w:t>
      </w:r>
    </w:p>
    <w:p w14:paraId="348B71AD" w14:textId="77777777"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14:paraId="6494D40F" w14:textId="77777777" w:rsidR="003436FE" w:rsidRPr="002B370E" w:rsidRDefault="003436FE" w:rsidP="00FE3D7D">
      <w:pPr>
        <w:numPr>
          <w:ilvl w:val="0"/>
          <w:numId w:val="3"/>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14:paraId="3C9837F7" w14:textId="76993073" w:rsidR="003436FE" w:rsidRPr="002B370E" w:rsidRDefault="003436FE" w:rsidP="00FE3D7D">
      <w:pPr>
        <w:numPr>
          <w:ilvl w:val="0"/>
          <w:numId w:val="3"/>
        </w:numPr>
        <w:spacing w:before="120" w:after="120"/>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Pr="002B370E">
        <w:rPr>
          <w:sz w:val="22"/>
          <w:szCs w:val="22"/>
        </w:rPr>
        <w:t xml:space="preserve"> </w:t>
      </w:r>
      <w:r w:rsidR="00C20A3E">
        <w:rPr>
          <w:sz w:val="22"/>
          <w:szCs w:val="22"/>
        </w:rPr>
        <w:t>03-162</w:t>
      </w:r>
      <w:r w:rsidR="0088567D" w:rsidRPr="0088567D">
        <w:rPr>
          <w:sz w:val="22"/>
          <w:szCs w:val="22"/>
        </w:rPr>
        <w:t>/01 IPA/2020/ 420-727/0</w:t>
      </w:r>
      <w:r w:rsidR="0088567D">
        <w:rPr>
          <w:sz w:val="22"/>
          <w:szCs w:val="22"/>
        </w:rPr>
        <w:t>2</w:t>
      </w:r>
      <w:r w:rsidRPr="002B370E">
        <w:rPr>
          <w:sz w:val="22"/>
          <w:szCs w:val="22"/>
        </w:rPr>
        <w:t>);</w:t>
      </w:r>
    </w:p>
    <w:p w14:paraId="36A7C384" w14:textId="1FCC342E" w:rsidR="003436FE" w:rsidRPr="002B370E" w:rsidRDefault="003436FE" w:rsidP="00FE3D7D">
      <w:pPr>
        <w:numPr>
          <w:ilvl w:val="0"/>
          <w:numId w:val="3"/>
        </w:numPr>
        <w:spacing w:before="120" w:after="120"/>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sidR="0088567D">
        <w:rPr>
          <w:sz w:val="22"/>
          <w:szCs w:val="22"/>
          <w:lang w:val="mk-MK"/>
        </w:rPr>
        <w:t xml:space="preserve">„ </w:t>
      </w:r>
      <w:proofErr w:type="spellStart"/>
      <w:r w:rsidR="0088567D" w:rsidRPr="0088567D">
        <w:rPr>
          <w:sz w:val="22"/>
          <w:szCs w:val="22"/>
        </w:rPr>
        <w:t>Да</w:t>
      </w:r>
      <w:proofErr w:type="spellEnd"/>
      <w:r w:rsidR="0088567D" w:rsidRPr="0088567D">
        <w:rPr>
          <w:sz w:val="22"/>
          <w:szCs w:val="22"/>
        </w:rPr>
        <w:t xml:space="preserve"> </w:t>
      </w:r>
      <w:proofErr w:type="spellStart"/>
      <w:r w:rsidR="0088567D" w:rsidRPr="0088567D">
        <w:rPr>
          <w:sz w:val="22"/>
          <w:szCs w:val="22"/>
        </w:rPr>
        <w:t>не</w:t>
      </w:r>
      <w:proofErr w:type="spellEnd"/>
      <w:r w:rsidR="0088567D" w:rsidRPr="0088567D">
        <w:rPr>
          <w:sz w:val="22"/>
          <w:szCs w:val="22"/>
        </w:rPr>
        <w:t xml:space="preserve"> </w:t>
      </w:r>
      <w:proofErr w:type="spellStart"/>
      <w:r w:rsidR="0088567D" w:rsidRPr="0088567D">
        <w:rPr>
          <w:sz w:val="22"/>
          <w:szCs w:val="22"/>
        </w:rPr>
        <w:t>се</w:t>
      </w:r>
      <w:proofErr w:type="spellEnd"/>
      <w:r w:rsidR="0088567D" w:rsidRPr="0088567D">
        <w:rPr>
          <w:sz w:val="22"/>
          <w:szCs w:val="22"/>
        </w:rPr>
        <w:t xml:space="preserve"> </w:t>
      </w:r>
      <w:proofErr w:type="spellStart"/>
      <w:r w:rsidR="0088567D" w:rsidRPr="0088567D">
        <w:rPr>
          <w:sz w:val="22"/>
          <w:szCs w:val="22"/>
        </w:rPr>
        <w:t>отвара</w:t>
      </w:r>
      <w:proofErr w:type="spellEnd"/>
      <w:r w:rsidR="0088567D" w:rsidRPr="0088567D">
        <w:rPr>
          <w:sz w:val="22"/>
          <w:szCs w:val="22"/>
        </w:rPr>
        <w:t xml:space="preserve"> </w:t>
      </w:r>
      <w:proofErr w:type="spellStart"/>
      <w:r w:rsidR="0088567D" w:rsidRPr="0088567D">
        <w:rPr>
          <w:sz w:val="22"/>
          <w:szCs w:val="22"/>
        </w:rPr>
        <w:t>пред</w:t>
      </w:r>
      <w:proofErr w:type="spellEnd"/>
      <w:r w:rsidR="0088567D" w:rsidRPr="0088567D">
        <w:rPr>
          <w:sz w:val="22"/>
          <w:szCs w:val="22"/>
        </w:rPr>
        <w:t xml:space="preserve"> </w:t>
      </w:r>
      <w:proofErr w:type="spellStart"/>
      <w:r w:rsidR="0088567D" w:rsidRPr="0088567D">
        <w:rPr>
          <w:sz w:val="22"/>
          <w:szCs w:val="22"/>
        </w:rPr>
        <w:t>официјалното</w:t>
      </w:r>
      <w:proofErr w:type="spellEnd"/>
      <w:r w:rsidR="0088567D" w:rsidRPr="0088567D">
        <w:rPr>
          <w:sz w:val="22"/>
          <w:szCs w:val="22"/>
        </w:rPr>
        <w:t xml:space="preserve"> </w:t>
      </w:r>
      <w:proofErr w:type="spellStart"/>
      <w:r w:rsidR="0088567D" w:rsidRPr="0088567D">
        <w:rPr>
          <w:sz w:val="22"/>
          <w:szCs w:val="22"/>
        </w:rPr>
        <w:t>отварање</w:t>
      </w:r>
      <w:proofErr w:type="spellEnd"/>
      <w:r w:rsidR="0088567D" w:rsidRPr="0088567D">
        <w:rPr>
          <w:sz w:val="22"/>
          <w:szCs w:val="22"/>
        </w:rPr>
        <w:t xml:space="preserve"> </w:t>
      </w:r>
      <w:proofErr w:type="spellStart"/>
      <w:r w:rsidR="0088567D" w:rsidRPr="0088567D">
        <w:rPr>
          <w:sz w:val="22"/>
          <w:szCs w:val="22"/>
        </w:rPr>
        <w:t>на</w:t>
      </w:r>
      <w:proofErr w:type="spellEnd"/>
      <w:r w:rsidR="0088567D" w:rsidRPr="0088567D">
        <w:rPr>
          <w:sz w:val="22"/>
          <w:szCs w:val="22"/>
        </w:rPr>
        <w:t xml:space="preserve"> </w:t>
      </w:r>
      <w:proofErr w:type="spellStart"/>
      <w:r w:rsidR="0088567D" w:rsidRPr="0088567D">
        <w:rPr>
          <w:sz w:val="22"/>
          <w:szCs w:val="22"/>
        </w:rPr>
        <w:t>понудите</w:t>
      </w:r>
      <w:proofErr w:type="spellEnd"/>
      <w:r w:rsidR="0088567D" w:rsidRPr="0088567D">
        <w:rPr>
          <w:sz w:val="22"/>
          <w:szCs w:val="22"/>
        </w:rPr>
        <w:t xml:space="preserve"> </w:t>
      </w:r>
      <w:r w:rsidR="0088567D">
        <w:rPr>
          <w:sz w:val="22"/>
          <w:szCs w:val="22"/>
          <w:lang w:val="mk-MK"/>
        </w:rPr>
        <w:t>“</w:t>
      </w:r>
      <w:r w:rsidRPr="002B370E">
        <w:rPr>
          <w:sz w:val="22"/>
          <w:szCs w:val="22"/>
        </w:rPr>
        <w:t>;</w:t>
      </w:r>
    </w:p>
    <w:p w14:paraId="0E25263C" w14:textId="4BF77B69" w:rsidR="003436FE" w:rsidRPr="009F5AE6" w:rsidRDefault="009F5AE6" w:rsidP="009F5AE6">
      <w:pPr>
        <w:numPr>
          <w:ilvl w:val="0"/>
          <w:numId w:val="3"/>
        </w:numPr>
        <w:tabs>
          <w:tab w:val="clear" w:pos="861"/>
        </w:tabs>
        <w:spacing w:before="120" w:after="120"/>
        <w:ind w:left="426" w:hanging="284"/>
        <w:rPr>
          <w:sz w:val="22"/>
          <w:szCs w:val="22"/>
        </w:rPr>
      </w:pPr>
      <w:proofErr w:type="gramStart"/>
      <w:r>
        <w:rPr>
          <w:sz w:val="22"/>
          <w:szCs w:val="22"/>
        </w:rPr>
        <w:t>the</w:t>
      </w:r>
      <w:proofErr w:type="gramEnd"/>
      <w:r>
        <w:rPr>
          <w:sz w:val="22"/>
          <w:szCs w:val="22"/>
        </w:rPr>
        <w:t xml:space="preserve"> name of the tenderer</w:t>
      </w:r>
      <w:r w:rsidR="003436FE" w:rsidRPr="009F5AE6">
        <w:rPr>
          <w:sz w:val="22"/>
          <w:szCs w:val="22"/>
        </w:rPr>
        <w:t>.</w:t>
      </w:r>
    </w:p>
    <w:p w14:paraId="42387D79" w14:textId="77777777" w:rsidR="003436FE" w:rsidRPr="002B370E" w:rsidRDefault="003436FE" w:rsidP="00FE3D7D">
      <w:pPr>
        <w:keepNext/>
        <w:numPr>
          <w:ilvl w:val="0"/>
          <w:numId w:val="4"/>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0C327535" w14:textId="77777777"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14:paraId="06C73B76" w14:textId="77777777"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w:t>
      </w:r>
      <w:r w:rsidR="008E6FB3">
        <w:rPr>
          <w:sz w:val="22"/>
          <w:szCs w:val="22"/>
        </w:rPr>
        <w:t xml:space="preserve"> c</w:t>
      </w:r>
      <w:r w:rsidRPr="002B370E">
        <w:rPr>
          <w:sz w:val="22"/>
          <w:szCs w:val="22"/>
        </w:rPr>
        <w:t xml:space="preserve">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3C5CBF">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14:paraId="2440E31A" w14:textId="77777777" w:rsidR="003436FE" w:rsidRPr="002B370E" w:rsidRDefault="003436FE" w:rsidP="00FE3D7D">
      <w:pPr>
        <w:keepNext/>
        <w:keepLines/>
        <w:numPr>
          <w:ilvl w:val="0"/>
          <w:numId w:val="4"/>
        </w:numPr>
        <w:spacing w:before="120" w:after="120"/>
        <w:jc w:val="both"/>
        <w:rPr>
          <w:b/>
          <w:sz w:val="24"/>
          <w:szCs w:val="24"/>
        </w:rPr>
      </w:pPr>
      <w:r w:rsidRPr="002B370E">
        <w:rPr>
          <w:b/>
          <w:sz w:val="24"/>
          <w:szCs w:val="24"/>
        </w:rPr>
        <w:t>Costs for preparing tenders</w:t>
      </w:r>
    </w:p>
    <w:p w14:paraId="68552FFD"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271EEB0E" w14:textId="77777777" w:rsidR="003436FE" w:rsidRPr="002B370E" w:rsidRDefault="003436FE" w:rsidP="00FE3D7D">
      <w:pPr>
        <w:numPr>
          <w:ilvl w:val="0"/>
          <w:numId w:val="4"/>
        </w:numPr>
        <w:spacing w:before="120" w:after="120"/>
        <w:jc w:val="both"/>
        <w:rPr>
          <w:b/>
          <w:sz w:val="24"/>
          <w:szCs w:val="24"/>
        </w:rPr>
      </w:pPr>
      <w:r w:rsidRPr="002B370E">
        <w:rPr>
          <w:b/>
          <w:sz w:val="24"/>
          <w:szCs w:val="24"/>
        </w:rPr>
        <w:t>Ownership of tenders</w:t>
      </w:r>
    </w:p>
    <w:p w14:paraId="682C525F" w14:textId="77777777" w:rsidR="003436FE" w:rsidRPr="002B370E" w:rsidRDefault="003436FE" w:rsidP="003436FE">
      <w:pPr>
        <w:spacing w:before="120" w:after="120"/>
        <w:jc w:val="both"/>
        <w:rPr>
          <w:sz w:val="22"/>
          <w:szCs w:val="22"/>
        </w:rPr>
      </w:pPr>
      <w:r w:rsidRPr="002B370E">
        <w:rPr>
          <w:sz w:val="22"/>
          <w:szCs w:val="22"/>
        </w:rPr>
        <w:t xml:space="preserve">The </w:t>
      </w:r>
      <w:r w:rsidR="00B16907">
        <w:rPr>
          <w:sz w:val="22"/>
          <w:szCs w:val="22"/>
        </w:rPr>
        <w:t>c</w:t>
      </w:r>
      <w:r w:rsidRPr="002B370E">
        <w:rPr>
          <w:sz w:val="22"/>
          <w:szCs w:val="22"/>
        </w:rPr>
        <w:t xml:space="preserve">ontracting </w:t>
      </w:r>
      <w:r w:rsidR="00B16907">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076101FF" w14:textId="77777777" w:rsidR="003436FE" w:rsidRPr="002B370E" w:rsidRDefault="003436FE" w:rsidP="00FE3D7D">
      <w:pPr>
        <w:numPr>
          <w:ilvl w:val="0"/>
          <w:numId w:val="4"/>
        </w:numPr>
        <w:spacing w:before="120" w:after="120"/>
        <w:jc w:val="both"/>
        <w:rPr>
          <w:b/>
          <w:sz w:val="24"/>
          <w:szCs w:val="24"/>
        </w:rPr>
      </w:pPr>
      <w:r w:rsidRPr="002B370E">
        <w:rPr>
          <w:b/>
          <w:sz w:val="24"/>
          <w:szCs w:val="24"/>
        </w:rPr>
        <w:t>Evaluation of tenders</w:t>
      </w:r>
    </w:p>
    <w:p w14:paraId="2F96544D"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352CDE72" w14:textId="77777777" w:rsidR="003436FE" w:rsidRPr="002B370E" w:rsidRDefault="003436FE" w:rsidP="000E38EE">
      <w:pPr>
        <w:spacing w:before="120" w:after="120"/>
        <w:jc w:val="both"/>
        <w:rPr>
          <w:sz w:val="22"/>
          <w:szCs w:val="22"/>
        </w:rPr>
      </w:pPr>
      <w:r w:rsidRPr="002B370E">
        <w:rPr>
          <w:sz w:val="22"/>
          <w:szCs w:val="22"/>
        </w:rPr>
        <w:lastRenderedPageBreak/>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8E6FB3">
        <w:rPr>
          <w:sz w:val="22"/>
          <w:szCs w:val="22"/>
        </w:rPr>
        <w:t>t</w:t>
      </w:r>
      <w:r w:rsidRPr="002B370E">
        <w:rPr>
          <w:sz w:val="22"/>
          <w:szCs w:val="22"/>
        </w:rPr>
        <w:t xml:space="preserve">erms of </w:t>
      </w:r>
      <w:r w:rsidR="008E6FB3">
        <w:rPr>
          <w:sz w:val="22"/>
          <w:szCs w:val="22"/>
        </w:rPr>
        <w:t>r</w:t>
      </w:r>
      <w:r w:rsidRPr="002B370E">
        <w:rPr>
          <w:sz w:val="22"/>
          <w:szCs w:val="22"/>
        </w:rPr>
        <w:t>eference.</w:t>
      </w:r>
    </w:p>
    <w:p w14:paraId="155E9867" w14:textId="77777777" w:rsidR="003436FE" w:rsidRPr="008A5241" w:rsidRDefault="003436FE" w:rsidP="000E38EE">
      <w:pPr>
        <w:jc w:val="both"/>
        <w:rPr>
          <w:sz w:val="22"/>
          <w:szCs w:val="22"/>
          <w:highlight w:val="lightGray"/>
        </w:rPr>
      </w:pPr>
      <w:r w:rsidRPr="002B370E">
        <w:rPr>
          <w:sz w:val="22"/>
          <w:szCs w:val="22"/>
        </w:rPr>
        <w:t>The evaluation of the technical offers will follow the procedures set out in Section 3.</w:t>
      </w:r>
      <w:r w:rsidR="00A61013">
        <w:rPr>
          <w:sz w:val="22"/>
          <w:szCs w:val="22"/>
        </w:rPr>
        <w:t>4</w:t>
      </w:r>
      <w:r w:rsidRPr="002B370E">
        <w:rPr>
          <w:sz w:val="22"/>
          <w:szCs w:val="22"/>
        </w:rPr>
        <w:t>.10</w:t>
      </w:r>
      <w:r w:rsidR="00230A4D">
        <w:rPr>
          <w:sz w:val="22"/>
          <w:szCs w:val="22"/>
        </w:rPr>
        <w:t>.</w:t>
      </w:r>
      <w:r w:rsidR="00A61013">
        <w:rPr>
          <w:sz w:val="22"/>
          <w:szCs w:val="22"/>
        </w:rPr>
        <w:t>3</w:t>
      </w:r>
      <w:r w:rsidRPr="002B370E">
        <w:rPr>
          <w:sz w:val="22"/>
          <w:szCs w:val="22"/>
        </w:rPr>
        <w:t xml:space="preserve"> of the </w:t>
      </w:r>
      <w:r w:rsidR="00B16907">
        <w:rPr>
          <w:sz w:val="22"/>
          <w:szCs w:val="22"/>
        </w:rPr>
        <w:t>p</w:t>
      </w:r>
      <w:r w:rsidRPr="002B370E">
        <w:rPr>
          <w:sz w:val="22"/>
          <w:szCs w:val="22"/>
        </w:rPr>
        <w:t xml:space="preserve">ractical </w:t>
      </w:r>
      <w:r w:rsidR="00B16907">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8E708B">
        <w:rPr>
          <w:sz w:val="22"/>
          <w:szCs w:val="22"/>
        </w:rPr>
        <w:t>:</w:t>
      </w:r>
      <w:r w:rsidR="000E38EE">
        <w:rPr>
          <w:sz w:val="22"/>
          <w:szCs w:val="22"/>
        </w:rPr>
        <w:t xml:space="preserve"> </w:t>
      </w:r>
      <w:hyperlink r:id="rId17" w:history="1">
        <w:r w:rsidR="00DB30DE" w:rsidRPr="000E38EE">
          <w:rPr>
            <w:rStyle w:val="Hyperlink"/>
            <w:sz w:val="22"/>
            <w:szCs w:val="22"/>
          </w:rPr>
          <w:t>http://ec.europa.eu/europeaid/prag/document.do</w:t>
        </w:r>
      </w:hyperlink>
      <w:r w:rsidR="008E708B">
        <w:rPr>
          <w:sz w:val="22"/>
          <w:szCs w:val="22"/>
        </w:rPr>
        <w:t xml:space="preserve"> )</w:t>
      </w:r>
      <w:r w:rsidRPr="002B370E">
        <w:rPr>
          <w:sz w:val="22"/>
          <w:szCs w:val="22"/>
        </w:rPr>
        <w:t>.</w:t>
      </w:r>
    </w:p>
    <w:p w14:paraId="69096ADA"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2215B750" w14:textId="4E7D0001" w:rsidR="00294800" w:rsidRPr="00294800" w:rsidRDefault="00294800" w:rsidP="00294800">
      <w:pPr>
        <w:spacing w:before="120" w:after="120"/>
        <w:jc w:val="both"/>
        <w:rPr>
          <w:sz w:val="22"/>
          <w:szCs w:val="22"/>
        </w:rPr>
      </w:pPr>
      <w:r w:rsidRPr="00F711D8">
        <w:rPr>
          <w:sz w:val="22"/>
          <w:szCs w:val="22"/>
        </w:rPr>
        <w:t>No interviews are foreseen.</w:t>
      </w:r>
      <w:r w:rsidR="00F711D8">
        <w:rPr>
          <w:sz w:val="22"/>
          <w:szCs w:val="22"/>
        </w:rPr>
        <w:t xml:space="preserve"> </w:t>
      </w:r>
    </w:p>
    <w:p w14:paraId="36263AD3"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73AB846B" w14:textId="77777777"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230A4D">
        <w:rPr>
          <w:sz w:val="22"/>
          <w:szCs w:val="22"/>
        </w:rPr>
        <w:t>75</w:t>
      </w:r>
      <w:r w:rsidR="00230A4D" w:rsidRPr="002B370E">
        <w:rPr>
          <w:sz w:val="22"/>
          <w:szCs w:val="22"/>
        </w:rPr>
        <w:t xml:space="preserve"> </w:t>
      </w:r>
      <w:r w:rsidRPr="002B370E">
        <w:rPr>
          <w:sz w:val="22"/>
          <w:szCs w:val="22"/>
        </w:rPr>
        <w:t xml:space="preserve">points or more). Tenders exceeding the maximum budget available for the contract </w:t>
      </w:r>
      <w:r w:rsidR="00F51085">
        <w:rPr>
          <w:sz w:val="22"/>
          <w:szCs w:val="22"/>
        </w:rPr>
        <w:t xml:space="preserve">are unacceptable and </w:t>
      </w:r>
      <w:r w:rsidRPr="002B370E">
        <w:rPr>
          <w:sz w:val="22"/>
          <w:szCs w:val="22"/>
        </w:rPr>
        <w:t>will be eliminated.</w:t>
      </w:r>
    </w:p>
    <w:p w14:paraId="483B5691"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2774D870" w14:textId="77777777" w:rsidR="003436FE" w:rsidRPr="002B370E" w:rsidRDefault="003436FE" w:rsidP="003436FE">
      <w:pPr>
        <w:spacing w:before="120" w:after="120"/>
        <w:jc w:val="both"/>
        <w:rPr>
          <w:sz w:val="22"/>
          <w:szCs w:val="22"/>
        </w:rPr>
      </w:pPr>
      <w:r w:rsidRPr="002B370E">
        <w:rPr>
          <w:sz w:val="22"/>
          <w:szCs w:val="22"/>
        </w:rPr>
        <w:t xml:space="preserve">The best </w:t>
      </w:r>
      <w:r w:rsidR="009A1502">
        <w:rPr>
          <w:sz w:val="22"/>
          <w:szCs w:val="22"/>
        </w:rPr>
        <w:t>price-quality ratio</w:t>
      </w:r>
      <w:r w:rsidRPr="002B370E">
        <w:rPr>
          <w:sz w:val="22"/>
          <w:szCs w:val="22"/>
        </w:rPr>
        <w:t xml:space="preserve"> is established by weighing technical quality against price on an 80/20 basis.</w:t>
      </w:r>
    </w:p>
    <w:p w14:paraId="3C2FF7E1"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17453833"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uthority’s legislation on access to documents.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B50807">
        <w:rPr>
          <w:sz w:val="22"/>
          <w:szCs w:val="22"/>
        </w:rPr>
        <w:t>e</w:t>
      </w:r>
      <w:r w:rsidRPr="002B370E">
        <w:rPr>
          <w:sz w:val="22"/>
          <w:szCs w:val="22"/>
        </w:rPr>
        <w:t xml:space="preserve">valuation </w:t>
      </w:r>
      <w:r w:rsidR="00B50807">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the European Commission, the European Anti-Fraud Office and the European Court of Auditors.</w:t>
      </w:r>
    </w:p>
    <w:p w14:paraId="5589BE9D" w14:textId="77777777" w:rsidR="003436FE" w:rsidRPr="002B370E" w:rsidRDefault="003436FE" w:rsidP="00FE3D7D">
      <w:pPr>
        <w:keepNext/>
        <w:numPr>
          <w:ilvl w:val="0"/>
          <w:numId w:val="4"/>
        </w:numPr>
        <w:spacing w:before="120" w:after="120"/>
        <w:jc w:val="both"/>
        <w:rPr>
          <w:b/>
          <w:sz w:val="24"/>
          <w:szCs w:val="24"/>
        </w:rPr>
      </w:pPr>
      <w:r w:rsidRPr="002B370E">
        <w:rPr>
          <w:b/>
          <w:sz w:val="24"/>
          <w:szCs w:val="24"/>
        </w:rPr>
        <w:t xml:space="preserve">Ethics clauses </w:t>
      </w:r>
      <w:r w:rsidR="003C457E">
        <w:rPr>
          <w:b/>
          <w:sz w:val="24"/>
          <w:szCs w:val="24"/>
        </w:rPr>
        <w:t xml:space="preserve">and code of conduct </w:t>
      </w:r>
    </w:p>
    <w:p w14:paraId="20626ED2" w14:textId="77777777" w:rsidR="003C457E" w:rsidRPr="00695F78" w:rsidRDefault="003436FE" w:rsidP="003436FE">
      <w:pPr>
        <w:spacing w:before="120" w:after="120"/>
        <w:ind w:left="567" w:hanging="567"/>
        <w:jc w:val="both"/>
        <w:rPr>
          <w:sz w:val="22"/>
          <w:szCs w:val="22"/>
          <w:u w:val="single"/>
        </w:rPr>
      </w:pPr>
      <w:r w:rsidRPr="002B370E">
        <w:rPr>
          <w:sz w:val="22"/>
          <w:szCs w:val="22"/>
        </w:rPr>
        <w:t>a)</w:t>
      </w:r>
      <w:r w:rsidRPr="002B370E">
        <w:rPr>
          <w:sz w:val="22"/>
          <w:szCs w:val="22"/>
        </w:rPr>
        <w:tab/>
      </w:r>
      <w:r w:rsidR="003C457E" w:rsidRPr="00695F78">
        <w:rPr>
          <w:sz w:val="22"/>
          <w:szCs w:val="22"/>
          <w:u w:val="single"/>
        </w:rPr>
        <w:t>Absence of conflict of interest</w:t>
      </w:r>
    </w:p>
    <w:p w14:paraId="7B422356" w14:textId="77777777" w:rsidR="003C457E" w:rsidRDefault="003C457E" w:rsidP="003436FE">
      <w:pPr>
        <w:spacing w:before="120" w:after="120"/>
        <w:ind w:left="567" w:hanging="567"/>
        <w:jc w:val="both"/>
        <w:rPr>
          <w:sz w:val="22"/>
          <w:szCs w:val="22"/>
        </w:rPr>
      </w:pPr>
      <w:r>
        <w:rPr>
          <w:sz w:val="22"/>
          <w:szCs w:val="22"/>
        </w:rPr>
        <w:t xml:space="preserve">         </w:t>
      </w:r>
      <w:r w:rsidRPr="003C457E">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3528B29" w14:textId="77777777" w:rsidR="003C457E"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3C457E" w:rsidRPr="00695F78">
        <w:rPr>
          <w:sz w:val="22"/>
          <w:szCs w:val="22"/>
          <w:u w:val="single"/>
        </w:rPr>
        <w:t>Respect for human rights as well as environmental legislation and core labour standards</w:t>
      </w:r>
    </w:p>
    <w:p w14:paraId="00B1738C" w14:textId="77777777" w:rsidR="003C457E" w:rsidRDefault="003C457E" w:rsidP="003436FE">
      <w:pPr>
        <w:spacing w:before="120" w:after="120"/>
        <w:ind w:left="567" w:hanging="567"/>
        <w:jc w:val="both"/>
        <w:rPr>
          <w:sz w:val="22"/>
          <w:szCs w:val="22"/>
        </w:rPr>
      </w:pPr>
      <w:r w:rsidRPr="003C457E">
        <w:rPr>
          <w:sz w:val="22"/>
          <w:szCs w:val="22"/>
        </w:rPr>
        <w:t xml:space="preserve"> </w:t>
      </w:r>
      <w:r>
        <w:rPr>
          <w:sz w:val="22"/>
          <w:szCs w:val="22"/>
        </w:rPr>
        <w:t xml:space="preserve">        </w:t>
      </w:r>
      <w:r w:rsidRPr="003C457E">
        <w:rPr>
          <w:sz w:val="22"/>
          <w:szCs w:val="22"/>
        </w:rPr>
        <w:t>The tenderer and its staff must comply with human rights</w:t>
      </w:r>
      <w:r w:rsidR="00395A65">
        <w:rPr>
          <w:sz w:val="22"/>
          <w:szCs w:val="22"/>
        </w:rPr>
        <w:t xml:space="preserve"> </w:t>
      </w:r>
      <w:r w:rsidR="00395A65" w:rsidRPr="00395A65">
        <w:rPr>
          <w:sz w:val="22"/>
          <w:szCs w:val="22"/>
        </w:rPr>
        <w:t>and applicable data protection rules.</w:t>
      </w:r>
      <w:r w:rsidRPr="003C457E">
        <w:rPr>
          <w:sz w:val="22"/>
          <w:szCs w:val="22"/>
        </w:rPr>
        <w:t xml:space="preserve">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32AA788F" w14:textId="77777777" w:rsidR="003C457E" w:rsidRPr="00695F78"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b/>
          <w:sz w:val="22"/>
          <w:szCs w:val="22"/>
        </w:rPr>
      </w:pPr>
      <w:r>
        <w:rPr>
          <w:sz w:val="22"/>
          <w:szCs w:val="22"/>
        </w:rPr>
        <w:t xml:space="preserve">        </w:t>
      </w:r>
      <w:r w:rsidRPr="00695F78">
        <w:rPr>
          <w:b/>
          <w:sz w:val="22"/>
          <w:szCs w:val="22"/>
        </w:rPr>
        <w:t xml:space="preserve">Zero tolerance for sexual </w:t>
      </w:r>
      <w:r w:rsidR="008252E4" w:rsidRPr="00695F78">
        <w:rPr>
          <w:b/>
          <w:sz w:val="22"/>
          <w:szCs w:val="22"/>
        </w:rPr>
        <w:t>exploitation</w:t>
      </w:r>
      <w:r w:rsidR="008252E4">
        <w:rPr>
          <w:b/>
          <w:sz w:val="22"/>
          <w:szCs w:val="22"/>
        </w:rPr>
        <w:t>,</w:t>
      </w:r>
      <w:r w:rsidRPr="00695F78">
        <w:rPr>
          <w:b/>
          <w:sz w:val="22"/>
          <w:szCs w:val="22"/>
        </w:rPr>
        <w:t xml:space="preserve"> abuse</w:t>
      </w:r>
      <w:r w:rsidR="008252E4">
        <w:rPr>
          <w:b/>
          <w:sz w:val="22"/>
          <w:szCs w:val="22"/>
        </w:rPr>
        <w:t xml:space="preserve"> and harassment</w:t>
      </w:r>
      <w:r w:rsidRPr="00695F78">
        <w:rPr>
          <w:b/>
          <w:sz w:val="22"/>
          <w:szCs w:val="22"/>
        </w:rPr>
        <w:t>:</w:t>
      </w:r>
    </w:p>
    <w:p w14:paraId="50DFD05A" w14:textId="77777777" w:rsidR="003C457E" w:rsidRP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t xml:space="preserve">          </w:t>
      </w:r>
      <w:r w:rsidRPr="003C457E">
        <w:rPr>
          <w:sz w:val="22"/>
          <w:szCs w:val="22"/>
        </w:rPr>
        <w:t>The European Commission applies a policy of 'zero toleranc</w:t>
      </w:r>
      <w:r>
        <w:rPr>
          <w:sz w:val="22"/>
          <w:szCs w:val="22"/>
        </w:rPr>
        <w:t xml:space="preserve">e' in relation to all wrongful </w:t>
      </w:r>
      <w:r w:rsidRPr="003C457E">
        <w:rPr>
          <w:sz w:val="22"/>
          <w:szCs w:val="22"/>
        </w:rPr>
        <w:t xml:space="preserve">conduct which has an impact on the professional credibility of the tenderer. </w:t>
      </w:r>
    </w:p>
    <w:p w14:paraId="35490033" w14:textId="77777777" w:rsidR="003C457E" w:rsidRDefault="003C457E" w:rsidP="00695F78">
      <w:pPr>
        <w:pBdr>
          <w:top w:val="single" w:sz="4" w:space="1" w:color="auto"/>
          <w:left w:val="single" w:sz="4" w:space="4" w:color="auto"/>
          <w:bottom w:val="single" w:sz="4" w:space="1" w:color="auto"/>
          <w:right w:val="single" w:sz="4" w:space="4" w:color="auto"/>
        </w:pBdr>
        <w:spacing w:before="120" w:after="120"/>
        <w:ind w:left="567" w:hanging="567"/>
        <w:jc w:val="both"/>
        <w:rPr>
          <w:sz w:val="22"/>
          <w:szCs w:val="22"/>
        </w:rPr>
      </w:pPr>
      <w:r>
        <w:rPr>
          <w:sz w:val="22"/>
          <w:szCs w:val="22"/>
        </w:rPr>
        <w:lastRenderedPageBreak/>
        <w:t xml:space="preserve">          </w:t>
      </w:r>
      <w:r w:rsidRPr="003C457E">
        <w:rPr>
          <w:sz w:val="22"/>
          <w:szCs w:val="22"/>
        </w:rPr>
        <w:t>Physical abuse or punishment, or threats of physical abuse, sexual abuse or exploitation, harassment and verbal abuse, as well as other forms of intimidation shall be prohibited.</w:t>
      </w:r>
    </w:p>
    <w:p w14:paraId="4C996B1C" w14:textId="77777777" w:rsidR="004968C0" w:rsidRDefault="003C457E" w:rsidP="003436FE">
      <w:pPr>
        <w:spacing w:before="120" w:after="120"/>
        <w:ind w:left="567" w:hanging="567"/>
        <w:jc w:val="both"/>
        <w:rPr>
          <w:sz w:val="22"/>
          <w:szCs w:val="22"/>
        </w:rPr>
      </w:pPr>
      <w:r w:rsidRPr="002B370E" w:rsidDel="003C457E">
        <w:rPr>
          <w:sz w:val="22"/>
          <w:szCs w:val="22"/>
        </w:rPr>
        <w:t xml:space="preserve"> </w:t>
      </w:r>
      <w:r w:rsidR="003436FE" w:rsidRPr="002B370E">
        <w:rPr>
          <w:sz w:val="22"/>
          <w:szCs w:val="22"/>
        </w:rPr>
        <w:t>c)</w:t>
      </w:r>
      <w:r w:rsidR="003436FE" w:rsidRPr="002B370E">
        <w:rPr>
          <w:sz w:val="22"/>
          <w:szCs w:val="22"/>
        </w:rPr>
        <w:tab/>
      </w:r>
      <w:r w:rsidR="004968C0" w:rsidRPr="00695F78">
        <w:rPr>
          <w:sz w:val="22"/>
          <w:szCs w:val="22"/>
          <w:u w:val="single"/>
        </w:rPr>
        <w:t>Anti-corruption and anti-bribery</w:t>
      </w:r>
      <w:r w:rsidR="004968C0" w:rsidRPr="004968C0">
        <w:rPr>
          <w:sz w:val="22"/>
          <w:szCs w:val="22"/>
        </w:rPr>
        <w:t xml:space="preserve"> </w:t>
      </w:r>
    </w:p>
    <w:p w14:paraId="34AEEF0F" w14:textId="77777777" w:rsidR="003436FE" w:rsidRPr="002B370E" w:rsidRDefault="004968C0" w:rsidP="003436FE">
      <w:pPr>
        <w:spacing w:before="120" w:after="120"/>
        <w:ind w:left="567" w:hanging="567"/>
        <w:jc w:val="both"/>
        <w:rPr>
          <w:sz w:val="22"/>
          <w:szCs w:val="22"/>
        </w:rPr>
      </w:pPr>
      <w:r>
        <w:rPr>
          <w:sz w:val="22"/>
          <w:szCs w:val="22"/>
        </w:rPr>
        <w:t xml:space="preserve">          </w:t>
      </w:r>
      <w:r w:rsidRPr="004968C0">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3615DCC7" w14:textId="77777777" w:rsidR="004968C0"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4968C0" w:rsidRPr="00695F78">
        <w:rPr>
          <w:sz w:val="22"/>
          <w:szCs w:val="22"/>
          <w:u w:val="single"/>
        </w:rPr>
        <w:t>Unusual commercial expenses</w:t>
      </w:r>
      <w:r w:rsidR="004968C0" w:rsidRPr="004968C0">
        <w:rPr>
          <w:sz w:val="22"/>
          <w:szCs w:val="22"/>
        </w:rPr>
        <w:t xml:space="preserve"> </w:t>
      </w:r>
    </w:p>
    <w:p w14:paraId="7FC39F52" w14:textId="77777777" w:rsidR="004968C0" w:rsidRPr="004968C0" w:rsidRDefault="004968C0" w:rsidP="004968C0">
      <w:pPr>
        <w:spacing w:before="120" w:after="120"/>
        <w:ind w:left="567" w:hanging="567"/>
        <w:jc w:val="both"/>
        <w:rPr>
          <w:sz w:val="22"/>
          <w:szCs w:val="22"/>
        </w:rPr>
      </w:pPr>
      <w:r>
        <w:rPr>
          <w:sz w:val="22"/>
          <w:szCs w:val="22"/>
        </w:rPr>
        <w:t xml:space="preserve">          </w:t>
      </w:r>
      <w:r w:rsidRPr="004968C0">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0EC4159D" w14:textId="77777777" w:rsidR="003436FE" w:rsidRPr="002B370E" w:rsidRDefault="004968C0" w:rsidP="00695F78">
      <w:pPr>
        <w:spacing w:before="120" w:after="120"/>
        <w:ind w:left="567" w:hanging="567"/>
        <w:jc w:val="both"/>
        <w:rPr>
          <w:sz w:val="22"/>
          <w:szCs w:val="22"/>
        </w:rPr>
      </w:pPr>
      <w:r>
        <w:rPr>
          <w:sz w:val="22"/>
          <w:szCs w:val="22"/>
        </w:rPr>
        <w:t xml:space="preserve">          </w:t>
      </w:r>
      <w:r w:rsidRPr="004968C0">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137DCF3A" w14:textId="77777777" w:rsidR="004968C0"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695F78" w:rsidRPr="00695F78">
        <w:rPr>
          <w:sz w:val="22"/>
          <w:szCs w:val="22"/>
          <w:u w:val="single"/>
        </w:rPr>
        <w:t>Breach of obligations</w:t>
      </w:r>
      <w:r w:rsidR="004968C0" w:rsidRPr="00695F78">
        <w:rPr>
          <w:sz w:val="22"/>
          <w:szCs w:val="22"/>
          <w:u w:val="single"/>
        </w:rPr>
        <w:t>, irregularities or fraud</w:t>
      </w:r>
    </w:p>
    <w:p w14:paraId="5C839778" w14:textId="77777777" w:rsidR="008F2B98" w:rsidRDefault="004968C0" w:rsidP="00695F78">
      <w:pPr>
        <w:spacing w:before="120" w:after="120"/>
        <w:ind w:left="567" w:hanging="567"/>
        <w:jc w:val="both"/>
        <w:rPr>
          <w:sz w:val="22"/>
          <w:szCs w:val="22"/>
        </w:rPr>
      </w:pPr>
      <w:r>
        <w:rPr>
          <w:sz w:val="22"/>
          <w:szCs w:val="22"/>
        </w:rPr>
        <w:t xml:space="preserve">          </w:t>
      </w:r>
      <w:r w:rsidRPr="004968C0">
        <w:rPr>
          <w:sz w:val="22"/>
          <w:szCs w:val="22"/>
        </w:rPr>
        <w:t>The contracting authority reserves the right to suspend or cancel the procedure, where the award procedure proves to have be</w:t>
      </w:r>
      <w:r w:rsidR="00695F78">
        <w:rPr>
          <w:sz w:val="22"/>
          <w:szCs w:val="22"/>
        </w:rPr>
        <w:t>en subject to breach of obligations</w:t>
      </w:r>
      <w:r w:rsidRPr="004968C0">
        <w:rPr>
          <w:sz w:val="22"/>
          <w:szCs w:val="22"/>
        </w:rPr>
        <w:t>, irregularities</w:t>
      </w:r>
      <w:r w:rsidR="00695F78">
        <w:rPr>
          <w:sz w:val="22"/>
          <w:szCs w:val="22"/>
        </w:rPr>
        <w:t xml:space="preserve"> or fraud. If breach of obligations</w:t>
      </w:r>
      <w:r w:rsidRPr="004968C0">
        <w:rPr>
          <w:sz w:val="22"/>
          <w:szCs w:val="22"/>
        </w:rPr>
        <w:t>, irregularities or fraud are discovered after the award of the contract, the contracting authority may refrain from concluding the contract.</w:t>
      </w:r>
      <w:r w:rsidRPr="002B370E" w:rsidDel="004968C0">
        <w:rPr>
          <w:sz w:val="22"/>
          <w:szCs w:val="22"/>
        </w:rPr>
        <w:t xml:space="preserve"> </w:t>
      </w:r>
      <w:r w:rsidR="008F2B98">
        <w:rPr>
          <w:sz w:val="22"/>
          <w:szCs w:val="22"/>
        </w:rPr>
        <w:t xml:space="preserve"> </w:t>
      </w:r>
    </w:p>
    <w:p w14:paraId="3F56C7A9" w14:textId="77777777" w:rsidR="003436FE" w:rsidRPr="008F2B98" w:rsidRDefault="008F2B98" w:rsidP="00695F78">
      <w:pPr>
        <w:spacing w:before="120" w:after="120"/>
        <w:ind w:left="567" w:hanging="567"/>
        <w:jc w:val="both"/>
        <w:rPr>
          <w:b/>
          <w:sz w:val="24"/>
          <w:szCs w:val="24"/>
        </w:rPr>
      </w:pPr>
      <w:r w:rsidRPr="00695F78">
        <w:rPr>
          <w:b/>
          <w:sz w:val="22"/>
          <w:szCs w:val="22"/>
        </w:rPr>
        <w:t xml:space="preserve">14. </w:t>
      </w:r>
      <w:r w:rsidR="003436FE" w:rsidRPr="008F2B98">
        <w:rPr>
          <w:b/>
          <w:sz w:val="24"/>
          <w:szCs w:val="24"/>
        </w:rPr>
        <w:t>Signature of contract(s)</w:t>
      </w:r>
    </w:p>
    <w:p w14:paraId="7F367BE7"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05715190" w14:textId="0DCC5F22" w:rsidR="00ED16B2" w:rsidRPr="009F5AE6" w:rsidRDefault="003436FE" w:rsidP="00497F84">
      <w:pPr>
        <w:keepNext/>
        <w:spacing w:before="120" w:after="120"/>
        <w:jc w:val="both"/>
        <w:rPr>
          <w:sz w:val="22"/>
          <w:szCs w:val="22"/>
        </w:rPr>
      </w:pPr>
      <w:r w:rsidRPr="002B370E">
        <w:rPr>
          <w:sz w:val="22"/>
          <w:szCs w:val="22"/>
        </w:rPr>
        <w:t xml:space="preserve">The successful tenderer will be informed in writing that its tender has been accepted.      </w:t>
      </w:r>
    </w:p>
    <w:p w14:paraId="6752C173"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6CD4453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the selected tenderer shall sign and date the contract and return it to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w:t>
      </w:r>
    </w:p>
    <w:p w14:paraId="266F8900"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 xml:space="preserve">uthority may award the tender to another tenderer or cancel the tender procedure. </w:t>
      </w:r>
    </w:p>
    <w:p w14:paraId="1FE785F7" w14:textId="77777777"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F51085">
        <w:rPr>
          <w:sz w:val="22"/>
          <w:szCs w:val="22"/>
        </w:rPr>
        <w:t>retained</w:t>
      </w:r>
      <w:r w:rsidRPr="002B370E">
        <w:rPr>
          <w:sz w:val="22"/>
          <w:szCs w:val="22"/>
        </w:rPr>
        <w:t xml:space="preserve">, by </w:t>
      </w:r>
      <w:r w:rsidR="00F51085">
        <w:rPr>
          <w:sz w:val="22"/>
          <w:szCs w:val="22"/>
        </w:rPr>
        <w:t xml:space="preserve">electronic </w:t>
      </w:r>
      <w:r w:rsidRPr="002B370E">
        <w:rPr>
          <w:sz w:val="22"/>
          <w:szCs w:val="22"/>
        </w:rPr>
        <w:t>means o</w:t>
      </w:r>
      <w:r w:rsidR="00F51085">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14:paraId="100B1AB7" w14:textId="77777777" w:rsidR="00F11E9B" w:rsidRPr="00F11E9B" w:rsidRDefault="00F11E9B" w:rsidP="00F11E9B">
      <w:pPr>
        <w:pStyle w:val="Style11ptJustifiedAfter12pt"/>
      </w:pPr>
      <w:r w:rsidRPr="00083096">
        <w:rPr>
          <w:rStyle w:val="Style11pt"/>
        </w:rPr>
        <w:lastRenderedPageBreak/>
        <w:t xml:space="preserve">The </w:t>
      </w:r>
      <w:r w:rsidR="003F36FE">
        <w:rPr>
          <w:rStyle w:val="Style11pt"/>
        </w:rPr>
        <w:t>c</w:t>
      </w:r>
      <w:r w:rsidRPr="00083096">
        <w:rPr>
          <w:rStyle w:val="Style11pt"/>
        </w:rPr>
        <w:t xml:space="preserve">ontracting </w:t>
      </w:r>
      <w:r w:rsidR="003F36FE">
        <w:rPr>
          <w:rStyle w:val="Style11pt"/>
        </w:rPr>
        <w:t>a</w:t>
      </w:r>
      <w:r w:rsidRPr="00083096">
        <w:rPr>
          <w:rStyle w:val="Style11pt"/>
        </w:rPr>
        <w:t>uthority will furthermore, at the same time, also inform the remaining unsuccessful tenderers</w:t>
      </w:r>
      <w:r w:rsidR="00F10DB7">
        <w:rPr>
          <w:rStyle w:val="Style11pt"/>
        </w:rPr>
        <w:t xml:space="preserve"> of the outcome of the procurement procedure</w:t>
      </w:r>
      <w:r w:rsidRPr="00083096">
        <w:rPr>
          <w:rStyle w:val="Style11pt"/>
        </w:rPr>
        <w:t xml:space="preserve"> </w:t>
      </w:r>
      <w:r>
        <w:rPr>
          <w:rStyle w:val="Style11pt"/>
        </w:rPr>
        <w:t>and</w:t>
      </w:r>
      <w:r w:rsidR="00F10DB7">
        <w:rPr>
          <w:rStyle w:val="Style11pt"/>
        </w:rPr>
        <w:t>,</w:t>
      </w:r>
      <w:r>
        <w:rPr>
          <w:rStyle w:val="Style11pt"/>
        </w:rPr>
        <w:t xml:space="preserve"> </w:t>
      </w:r>
      <w:r w:rsidR="00F10DB7">
        <w:rPr>
          <w:rStyle w:val="Style11pt"/>
        </w:rPr>
        <w:t>as a</w:t>
      </w:r>
      <w:r w:rsidRPr="00083096">
        <w:rPr>
          <w:rStyle w:val="Style11pt"/>
        </w:rPr>
        <w:t xml:space="preserve"> consequence of these letters</w:t>
      </w:r>
      <w:r w:rsidR="00F10DB7">
        <w:rPr>
          <w:rStyle w:val="Style11pt"/>
        </w:rPr>
        <w:t>,</w:t>
      </w:r>
      <w:r w:rsidRPr="00083096">
        <w:rPr>
          <w:rStyle w:val="Style11pt"/>
        </w:rPr>
        <w:t xml:space="preserve"> the validity of their offers </w:t>
      </w:r>
      <w:r w:rsidR="00F10DB7">
        <w:rPr>
          <w:rStyle w:val="Style11pt"/>
        </w:rPr>
        <w:t>shall</w:t>
      </w:r>
      <w:r w:rsidRPr="00083096">
        <w:rPr>
          <w:rStyle w:val="Style11pt"/>
        </w:rPr>
        <w:t xml:space="preserve"> not be retained.</w:t>
      </w:r>
    </w:p>
    <w:p w14:paraId="22084A7C" w14:textId="77777777" w:rsidR="003436FE" w:rsidRPr="002B370E" w:rsidRDefault="008F2B98" w:rsidP="00695F78">
      <w:pPr>
        <w:keepNext/>
        <w:spacing w:before="120" w:after="120"/>
        <w:jc w:val="both"/>
        <w:rPr>
          <w:b/>
          <w:sz w:val="24"/>
          <w:szCs w:val="24"/>
        </w:rPr>
      </w:pPr>
      <w:r>
        <w:rPr>
          <w:b/>
          <w:sz w:val="24"/>
          <w:szCs w:val="24"/>
        </w:rPr>
        <w:t xml:space="preserve">15. </w:t>
      </w:r>
      <w:r w:rsidR="003436FE" w:rsidRPr="002B370E">
        <w:rPr>
          <w:b/>
          <w:sz w:val="24"/>
          <w:szCs w:val="24"/>
        </w:rPr>
        <w:t>Cancellation of the tender procedure</w:t>
      </w:r>
    </w:p>
    <w:p w14:paraId="331E2EB8"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3F36FE">
        <w:rPr>
          <w:sz w:val="22"/>
          <w:szCs w:val="22"/>
        </w:rPr>
        <w:t>c</w:t>
      </w:r>
      <w:r w:rsidRPr="002B370E">
        <w:rPr>
          <w:sz w:val="22"/>
          <w:szCs w:val="22"/>
        </w:rPr>
        <w:t xml:space="preserve">ontracting </w:t>
      </w:r>
      <w:r w:rsidR="003F36FE">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14:paraId="27F3211C"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DF5D03">
        <w:rPr>
          <w:sz w:val="22"/>
          <w:szCs w:val="22"/>
        </w:rPr>
        <w:t>, for example,</w:t>
      </w:r>
      <w:r w:rsidRPr="002B370E">
        <w:rPr>
          <w:sz w:val="22"/>
          <w:szCs w:val="22"/>
        </w:rPr>
        <w:t xml:space="preserve"> where:</w:t>
      </w:r>
    </w:p>
    <w:p w14:paraId="354A07F6" w14:textId="77777777" w:rsidR="003436FE" w:rsidRPr="002B370E" w:rsidRDefault="003436FE" w:rsidP="00FE3D7D">
      <w:pPr>
        <w:pStyle w:val="BodyText2"/>
        <w:numPr>
          <w:ilvl w:val="0"/>
          <w:numId w:val="6"/>
        </w:numPr>
        <w:tabs>
          <w:tab w:val="left" w:pos="0"/>
          <w:tab w:val="left" w:pos="630"/>
        </w:tabs>
        <w:spacing w:before="120" w:after="120"/>
        <w:rPr>
          <w:sz w:val="22"/>
          <w:szCs w:val="22"/>
        </w:rPr>
      </w:pPr>
      <w:r w:rsidRPr="002B370E">
        <w:rPr>
          <w:sz w:val="22"/>
          <w:szCs w:val="22"/>
        </w:rPr>
        <w:t>the tender procedure has been unsuccessful, i.e. no</w:t>
      </w:r>
      <w:r w:rsidR="00F51085">
        <w:rPr>
          <w:sz w:val="22"/>
          <w:szCs w:val="22"/>
        </w:rPr>
        <w:t xml:space="preserve"> suitable,</w:t>
      </w:r>
      <w:r w:rsidRPr="002B370E">
        <w:rPr>
          <w:sz w:val="22"/>
          <w:szCs w:val="22"/>
        </w:rPr>
        <w:t xml:space="preserve"> qualitatively or financially </w:t>
      </w:r>
      <w:r w:rsidR="00F51085">
        <w:rPr>
          <w:sz w:val="22"/>
          <w:szCs w:val="22"/>
        </w:rPr>
        <w:t>acceptable</w:t>
      </w:r>
      <w:r w:rsidR="00F51085" w:rsidRPr="002B370E">
        <w:rPr>
          <w:sz w:val="22"/>
          <w:szCs w:val="22"/>
        </w:rPr>
        <w:t xml:space="preserve"> </w:t>
      </w:r>
      <w:r w:rsidRPr="002B370E">
        <w:rPr>
          <w:sz w:val="22"/>
          <w:szCs w:val="22"/>
        </w:rPr>
        <w:t>tender has been received or there is no valid response at all;</w:t>
      </w:r>
    </w:p>
    <w:p w14:paraId="74204B92" w14:textId="77777777" w:rsidR="003436FE" w:rsidRPr="002B370E" w:rsidRDefault="003436FE" w:rsidP="00FE3D7D">
      <w:pPr>
        <w:pStyle w:val="BodyText2"/>
        <w:numPr>
          <w:ilvl w:val="0"/>
          <w:numId w:val="6"/>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16000CC3" w14:textId="77777777" w:rsidR="003436FE" w:rsidRPr="002B370E" w:rsidRDefault="003436FE" w:rsidP="00FE3D7D">
      <w:pPr>
        <w:pStyle w:val="BodyText2"/>
        <w:numPr>
          <w:ilvl w:val="0"/>
          <w:numId w:val="6"/>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1AF65DE6" w14:textId="77777777" w:rsidR="003436FE" w:rsidRPr="002B370E" w:rsidRDefault="003436FE" w:rsidP="00FE3D7D">
      <w:pPr>
        <w:pStyle w:val="BodyText2"/>
        <w:numPr>
          <w:ilvl w:val="0"/>
          <w:numId w:val="6"/>
        </w:numPr>
        <w:tabs>
          <w:tab w:val="left" w:pos="0"/>
          <w:tab w:val="left" w:pos="630"/>
        </w:tabs>
        <w:spacing w:before="120" w:after="120"/>
        <w:rPr>
          <w:sz w:val="22"/>
          <w:szCs w:val="22"/>
        </w:rPr>
      </w:pPr>
      <w:r w:rsidRPr="002B370E">
        <w:rPr>
          <w:sz w:val="22"/>
          <w:szCs w:val="22"/>
        </w:rPr>
        <w:t xml:space="preserve">all technically </w:t>
      </w:r>
      <w:r w:rsidR="00F51085">
        <w:rPr>
          <w:sz w:val="22"/>
          <w:szCs w:val="22"/>
        </w:rPr>
        <w:t>acceptable</w:t>
      </w:r>
      <w:r w:rsidR="00F51085" w:rsidRPr="002B370E">
        <w:rPr>
          <w:sz w:val="22"/>
          <w:szCs w:val="22"/>
        </w:rPr>
        <w:t xml:space="preserve"> </w:t>
      </w:r>
      <w:r w:rsidRPr="002B370E">
        <w:rPr>
          <w:sz w:val="22"/>
          <w:szCs w:val="22"/>
        </w:rPr>
        <w:t>tenders exceed the financial resources available;</w:t>
      </w:r>
    </w:p>
    <w:p w14:paraId="787CF7D9" w14:textId="77777777" w:rsidR="003436FE" w:rsidRPr="002B370E" w:rsidRDefault="003436FE" w:rsidP="00FE3D7D">
      <w:pPr>
        <w:pStyle w:val="BodyText2"/>
        <w:numPr>
          <w:ilvl w:val="0"/>
          <w:numId w:val="6"/>
        </w:numPr>
        <w:tabs>
          <w:tab w:val="left" w:pos="0"/>
          <w:tab w:val="left" w:pos="630"/>
        </w:tabs>
        <w:spacing w:before="120" w:after="120"/>
        <w:rPr>
          <w:sz w:val="22"/>
          <w:szCs w:val="22"/>
        </w:rPr>
      </w:pPr>
      <w:r w:rsidRPr="002B370E">
        <w:rPr>
          <w:sz w:val="22"/>
          <w:szCs w:val="22"/>
        </w:rPr>
        <w:t>there have been</w:t>
      </w:r>
      <w:r w:rsidR="008A3B7F">
        <w:rPr>
          <w:sz w:val="22"/>
          <w:szCs w:val="22"/>
        </w:rPr>
        <w:t xml:space="preserve"> breach of obligations</w:t>
      </w:r>
      <w:r w:rsidR="00F51085">
        <w:rPr>
          <w:sz w:val="22"/>
          <w:szCs w:val="22"/>
        </w:rPr>
        <w:t>,</w:t>
      </w:r>
      <w:r w:rsidRPr="002B370E">
        <w:rPr>
          <w:sz w:val="22"/>
          <w:szCs w:val="22"/>
        </w:rPr>
        <w:t xml:space="preserve"> irregularities</w:t>
      </w:r>
      <w:r w:rsidR="00F51085">
        <w:rPr>
          <w:sz w:val="22"/>
          <w:szCs w:val="22"/>
        </w:rPr>
        <w:t xml:space="preserve"> 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6D3D41FB" w14:textId="77777777" w:rsidR="003436FE" w:rsidRPr="002B370E" w:rsidRDefault="003436FE" w:rsidP="00FE3D7D">
      <w:pPr>
        <w:pStyle w:val="BodyText2"/>
        <w:numPr>
          <w:ilvl w:val="0"/>
          <w:numId w:val="6"/>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621927A7"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 xml:space="preserve">uthority has been advised of the possibility of damages. The publication of a </w:t>
      </w:r>
      <w:r w:rsidR="00F51085">
        <w:rPr>
          <w:bCs/>
          <w:sz w:val="22"/>
          <w:szCs w:val="22"/>
        </w:rPr>
        <w:t>contract</w:t>
      </w:r>
      <w:r w:rsidR="00F51085" w:rsidRPr="002B370E">
        <w:rPr>
          <w:bCs/>
          <w:sz w:val="22"/>
          <w:szCs w:val="22"/>
        </w:rPr>
        <w:t xml:space="preserve"> </w:t>
      </w:r>
      <w:r w:rsidRPr="002B370E">
        <w:rPr>
          <w:bCs/>
          <w:sz w:val="22"/>
          <w:szCs w:val="22"/>
        </w:rPr>
        <w:t xml:space="preserve">notice does not commit the </w:t>
      </w:r>
      <w:r w:rsidR="003F36FE">
        <w:rPr>
          <w:bCs/>
          <w:sz w:val="22"/>
          <w:szCs w:val="22"/>
        </w:rPr>
        <w:t>c</w:t>
      </w:r>
      <w:r w:rsidRPr="002B370E">
        <w:rPr>
          <w:bCs/>
          <w:sz w:val="22"/>
          <w:szCs w:val="22"/>
        </w:rPr>
        <w:t xml:space="preserve">ontracting </w:t>
      </w:r>
      <w:r w:rsidR="003F36FE">
        <w:rPr>
          <w:bCs/>
          <w:sz w:val="22"/>
          <w:szCs w:val="22"/>
        </w:rPr>
        <w:t>a</w:t>
      </w:r>
      <w:r w:rsidRPr="002B370E">
        <w:rPr>
          <w:bCs/>
          <w:sz w:val="22"/>
          <w:szCs w:val="22"/>
        </w:rPr>
        <w:t>uthority to implement the programme or project announced.</w:t>
      </w:r>
    </w:p>
    <w:p w14:paraId="7A131A0A" w14:textId="77777777" w:rsidR="003436FE" w:rsidRPr="002B370E" w:rsidRDefault="008F2B98" w:rsidP="00695F78">
      <w:pPr>
        <w:keepNext/>
        <w:keepLines/>
        <w:spacing w:before="120" w:after="120"/>
        <w:jc w:val="both"/>
        <w:rPr>
          <w:b/>
          <w:sz w:val="24"/>
          <w:szCs w:val="24"/>
        </w:rPr>
      </w:pPr>
      <w:r>
        <w:rPr>
          <w:b/>
          <w:sz w:val="24"/>
          <w:szCs w:val="24"/>
        </w:rPr>
        <w:t xml:space="preserve">16. </w:t>
      </w:r>
      <w:r w:rsidR="003436FE" w:rsidRPr="002B370E">
        <w:rPr>
          <w:b/>
          <w:sz w:val="24"/>
          <w:szCs w:val="24"/>
        </w:rPr>
        <w:t>Appeals</w:t>
      </w:r>
    </w:p>
    <w:p w14:paraId="49DAF2CF"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B50807">
        <w:rPr>
          <w:sz w:val="22"/>
          <w:szCs w:val="22"/>
        </w:rPr>
        <w:t>S</w:t>
      </w:r>
      <w:r w:rsidRPr="002B370E">
        <w:rPr>
          <w:sz w:val="22"/>
          <w:szCs w:val="22"/>
        </w:rPr>
        <w:t>ection 2.</w:t>
      </w:r>
      <w:r w:rsidR="003F36FE">
        <w:rPr>
          <w:sz w:val="22"/>
          <w:szCs w:val="22"/>
        </w:rPr>
        <w:t>12.</w:t>
      </w:r>
      <w:r w:rsidRPr="002B370E">
        <w:rPr>
          <w:sz w:val="22"/>
          <w:szCs w:val="22"/>
        </w:rPr>
        <w:t xml:space="preserve"> </w:t>
      </w:r>
      <w:proofErr w:type="gramStart"/>
      <w:r w:rsidRPr="002B370E">
        <w:rPr>
          <w:sz w:val="22"/>
          <w:szCs w:val="22"/>
        </w:rPr>
        <w:t>of</w:t>
      </w:r>
      <w:proofErr w:type="gramEnd"/>
      <w:r w:rsidRPr="002B370E">
        <w:rPr>
          <w:sz w:val="22"/>
          <w:szCs w:val="22"/>
        </w:rPr>
        <w:t xml:space="preserve"> the </w:t>
      </w:r>
      <w:r w:rsidR="003F36FE">
        <w:rPr>
          <w:sz w:val="22"/>
          <w:szCs w:val="22"/>
        </w:rPr>
        <w:t>p</w:t>
      </w:r>
      <w:r w:rsidRPr="002B370E">
        <w:rPr>
          <w:sz w:val="22"/>
          <w:szCs w:val="22"/>
        </w:rPr>
        <w:t xml:space="preserve">ractical </w:t>
      </w:r>
      <w:r w:rsidR="003F36FE">
        <w:rPr>
          <w:sz w:val="22"/>
          <w:szCs w:val="22"/>
        </w:rPr>
        <w:t>g</w:t>
      </w:r>
      <w:r w:rsidRPr="002B370E">
        <w:rPr>
          <w:sz w:val="22"/>
          <w:szCs w:val="22"/>
        </w:rPr>
        <w:t>uide.</w:t>
      </w:r>
    </w:p>
    <w:p w14:paraId="6FA1CEBB" w14:textId="77777777" w:rsidR="00395A65" w:rsidRPr="00D54FCF" w:rsidRDefault="00395A65" w:rsidP="00395A65">
      <w:pPr>
        <w:keepNext/>
        <w:spacing w:before="120" w:after="120"/>
        <w:jc w:val="both"/>
        <w:rPr>
          <w:b/>
          <w:bCs/>
          <w:sz w:val="24"/>
          <w:szCs w:val="24"/>
        </w:rPr>
      </w:pPr>
      <w:r w:rsidRPr="00D54FCF">
        <w:rPr>
          <w:b/>
          <w:bCs/>
          <w:sz w:val="24"/>
          <w:szCs w:val="24"/>
        </w:rPr>
        <w:t>17. Data Protection</w:t>
      </w:r>
    </w:p>
    <w:p w14:paraId="70A25CA8" w14:textId="3AF44F41" w:rsidR="00395A65" w:rsidRPr="00497F84" w:rsidRDefault="00395A65" w:rsidP="00956082">
      <w:pPr>
        <w:spacing w:before="120"/>
        <w:jc w:val="both"/>
        <w:rPr>
          <w:sz w:val="22"/>
          <w:szCs w:val="22"/>
        </w:rPr>
      </w:pPr>
      <w:r w:rsidRPr="00497F84">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21C1C1D" w14:textId="72DFF4C1" w:rsidR="00395A65" w:rsidRPr="00497F84" w:rsidRDefault="00395A65" w:rsidP="00497F84">
      <w:pPr>
        <w:spacing w:before="120"/>
        <w:jc w:val="both"/>
        <w:rPr>
          <w:sz w:val="22"/>
          <w:szCs w:val="22"/>
        </w:rPr>
      </w:pPr>
      <w:r w:rsidRPr="00497F84">
        <w:rPr>
          <w:sz w:val="22"/>
          <w:szCs w:val="22"/>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w:t>
      </w:r>
    </w:p>
    <w:p w14:paraId="2B6F565C" w14:textId="77777777" w:rsidR="00395A65" w:rsidRPr="00497F84" w:rsidRDefault="00395A65" w:rsidP="00956082">
      <w:pPr>
        <w:spacing w:before="120"/>
        <w:jc w:val="both"/>
        <w:rPr>
          <w:sz w:val="22"/>
          <w:szCs w:val="22"/>
        </w:rPr>
      </w:pPr>
      <w:r w:rsidRPr="00497F84">
        <w:rPr>
          <w:sz w:val="22"/>
          <w:szCs w:val="22"/>
        </w:rPr>
        <w:t>Details concerning processing of your personal data by the Commission are available on the privacy statement at:</w:t>
      </w:r>
    </w:p>
    <w:p w14:paraId="6950C862" w14:textId="77777777" w:rsidR="00395A65" w:rsidRPr="00497F84" w:rsidRDefault="00D4121D" w:rsidP="00956082">
      <w:pPr>
        <w:rPr>
          <w:color w:val="1F497D"/>
          <w:sz w:val="22"/>
          <w:szCs w:val="22"/>
        </w:rPr>
      </w:pPr>
      <w:hyperlink r:id="rId18" w:history="1">
        <w:r w:rsidR="00395A65" w:rsidRPr="00497F84">
          <w:rPr>
            <w:rStyle w:val="Hyperlink"/>
            <w:sz w:val="22"/>
            <w:szCs w:val="22"/>
          </w:rPr>
          <w:t>http://ec.europa.eu/europeaid/prag/annexes.do?chapterTitleCode=A</w:t>
        </w:r>
      </w:hyperlink>
      <w:r w:rsidR="00395A65" w:rsidRPr="00497F84">
        <w:rPr>
          <w:color w:val="1F497D"/>
          <w:sz w:val="22"/>
          <w:szCs w:val="22"/>
        </w:rPr>
        <w:t xml:space="preserve">  </w:t>
      </w:r>
    </w:p>
    <w:p w14:paraId="5B2443F2" w14:textId="77777777" w:rsidR="00395A65" w:rsidRPr="00497F84" w:rsidRDefault="00395A65" w:rsidP="00395A65">
      <w:pPr>
        <w:ind w:left="720"/>
        <w:rPr>
          <w:sz w:val="22"/>
          <w:szCs w:val="22"/>
        </w:rPr>
      </w:pPr>
    </w:p>
    <w:p w14:paraId="194F8DC8" w14:textId="6B27DFB7" w:rsidR="00395A65" w:rsidRPr="00D54FCF" w:rsidRDefault="00395A65" w:rsidP="00395A65">
      <w:pPr>
        <w:jc w:val="both"/>
        <w:rPr>
          <w:sz w:val="22"/>
          <w:szCs w:val="22"/>
        </w:rPr>
      </w:pPr>
      <w:r w:rsidRPr="00497F84">
        <w:rPr>
          <w:sz w:val="22"/>
          <w:szCs w:val="22"/>
        </w:rPr>
        <w:lastRenderedPageBreak/>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r w:rsidR="00BF286F">
        <w:rPr>
          <w:sz w:val="22"/>
          <w:szCs w:val="22"/>
        </w:rPr>
        <w:t xml:space="preserve">  </w:t>
      </w:r>
    </w:p>
    <w:p w14:paraId="1BFEF698" w14:textId="77777777" w:rsidR="003436FE" w:rsidRPr="00D54FCF" w:rsidRDefault="003436FE" w:rsidP="003436FE">
      <w:pPr>
        <w:keepNext/>
        <w:spacing w:before="240" w:after="240"/>
        <w:jc w:val="both"/>
        <w:rPr>
          <w:b/>
          <w:bCs/>
          <w:sz w:val="24"/>
          <w:szCs w:val="24"/>
        </w:rPr>
      </w:pPr>
      <w:r w:rsidRPr="00D54FCF">
        <w:rPr>
          <w:b/>
          <w:bCs/>
          <w:sz w:val="24"/>
          <w:szCs w:val="24"/>
        </w:rPr>
        <w:t>18.</w:t>
      </w:r>
      <w:r w:rsidRPr="00D54FCF">
        <w:rPr>
          <w:b/>
          <w:bCs/>
          <w:sz w:val="24"/>
          <w:szCs w:val="24"/>
        </w:rPr>
        <w:tab/>
        <w:t xml:space="preserve">Early </w:t>
      </w:r>
      <w:r w:rsidR="00B50807" w:rsidRPr="00D54FCF">
        <w:rPr>
          <w:b/>
          <w:bCs/>
          <w:sz w:val="24"/>
          <w:szCs w:val="24"/>
        </w:rPr>
        <w:t>d</w:t>
      </w:r>
      <w:r w:rsidR="00D6597E" w:rsidRPr="00D54FCF">
        <w:rPr>
          <w:b/>
          <w:bCs/>
          <w:sz w:val="24"/>
          <w:szCs w:val="24"/>
        </w:rPr>
        <w:t xml:space="preserve">etection and </w:t>
      </w:r>
      <w:r w:rsidR="00B50807" w:rsidRPr="00D54FCF">
        <w:rPr>
          <w:b/>
          <w:bCs/>
          <w:sz w:val="24"/>
          <w:szCs w:val="24"/>
        </w:rPr>
        <w:t>e</w:t>
      </w:r>
      <w:r w:rsidR="00D6597E" w:rsidRPr="00D54FCF">
        <w:rPr>
          <w:b/>
          <w:bCs/>
          <w:sz w:val="24"/>
          <w:szCs w:val="24"/>
        </w:rPr>
        <w:t xml:space="preserve">xclusion </w:t>
      </w:r>
      <w:r w:rsidR="00B50807" w:rsidRPr="00D54FCF">
        <w:rPr>
          <w:b/>
          <w:bCs/>
          <w:sz w:val="24"/>
          <w:szCs w:val="24"/>
        </w:rPr>
        <w:t>s</w:t>
      </w:r>
      <w:r w:rsidRPr="00D54FCF">
        <w:rPr>
          <w:b/>
          <w:bCs/>
          <w:sz w:val="24"/>
          <w:szCs w:val="24"/>
        </w:rPr>
        <w:t xml:space="preserve">ystem </w:t>
      </w:r>
    </w:p>
    <w:p w14:paraId="1F46DCE5" w14:textId="77777777" w:rsidR="008244BC" w:rsidRPr="00956082" w:rsidRDefault="003436FE" w:rsidP="000E38EE">
      <w:pPr>
        <w:spacing w:after="60"/>
        <w:jc w:val="both"/>
        <w:rPr>
          <w:sz w:val="22"/>
          <w:szCs w:val="22"/>
        </w:rPr>
      </w:pPr>
      <w:r w:rsidRPr="00D54FCF">
        <w:rPr>
          <w:sz w:val="22"/>
          <w:szCs w:val="22"/>
        </w:rPr>
        <w:t>The tenderers and, if they are legal entities, persons who have powers of representation, decision-making or control over them, are informed that, should they be in one of the situations</w:t>
      </w:r>
      <w:r w:rsidR="00D07BE1" w:rsidRPr="00D54FCF">
        <w:rPr>
          <w:sz w:val="22"/>
          <w:szCs w:val="22"/>
        </w:rPr>
        <w:t xml:space="preserve"> of </w:t>
      </w:r>
      <w:r w:rsidR="002C2963" w:rsidRPr="00D54FCF">
        <w:rPr>
          <w:sz w:val="22"/>
          <w:szCs w:val="22"/>
        </w:rPr>
        <w:t xml:space="preserve">early </w:t>
      </w:r>
      <w:r w:rsidR="00D07BE1" w:rsidRPr="00D54FCF">
        <w:rPr>
          <w:sz w:val="22"/>
          <w:szCs w:val="22"/>
        </w:rPr>
        <w:t>detection or exclusion</w:t>
      </w:r>
      <w:r w:rsidR="00B62022" w:rsidRPr="00D54FCF">
        <w:rPr>
          <w:sz w:val="22"/>
          <w:szCs w:val="22"/>
        </w:rPr>
        <w:t>,</w:t>
      </w:r>
      <w:r w:rsidR="00D07BE1" w:rsidRPr="00D54FCF">
        <w:rPr>
          <w:sz w:val="22"/>
          <w:szCs w:val="22"/>
        </w:rPr>
        <w:t xml:space="preserve"> </w:t>
      </w:r>
      <w:r w:rsidRPr="00D54FCF">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B50807" w:rsidRPr="00D54FCF">
        <w:rPr>
          <w:sz w:val="22"/>
          <w:szCs w:val="22"/>
        </w:rPr>
        <w:t>e</w:t>
      </w:r>
      <w:r w:rsidR="00D6597E" w:rsidRPr="00D54FCF">
        <w:rPr>
          <w:sz w:val="22"/>
          <w:szCs w:val="22"/>
        </w:rPr>
        <w:t xml:space="preserve">arly </w:t>
      </w:r>
      <w:r w:rsidR="00B50807" w:rsidRPr="00D54FCF">
        <w:rPr>
          <w:sz w:val="22"/>
          <w:szCs w:val="22"/>
        </w:rPr>
        <w:t>d</w:t>
      </w:r>
      <w:r w:rsidR="00D6597E" w:rsidRPr="00D54FCF">
        <w:rPr>
          <w:sz w:val="22"/>
          <w:szCs w:val="22"/>
        </w:rPr>
        <w:t xml:space="preserve">etection and </w:t>
      </w:r>
      <w:r w:rsidR="00B50807" w:rsidRPr="00D54FCF">
        <w:rPr>
          <w:sz w:val="22"/>
          <w:szCs w:val="22"/>
        </w:rPr>
        <w:t>e</w:t>
      </w:r>
      <w:r w:rsidR="00D6597E" w:rsidRPr="00D54FCF">
        <w:rPr>
          <w:sz w:val="22"/>
          <w:szCs w:val="22"/>
        </w:rPr>
        <w:t xml:space="preserve">xclusion </w:t>
      </w:r>
      <w:r w:rsidR="00B50807" w:rsidRPr="00D54FCF">
        <w:rPr>
          <w:sz w:val="22"/>
          <w:szCs w:val="22"/>
        </w:rPr>
        <w:t>s</w:t>
      </w:r>
      <w:r w:rsidR="00D6597E" w:rsidRPr="00D54FCF">
        <w:rPr>
          <w:sz w:val="22"/>
          <w:szCs w:val="22"/>
        </w:rPr>
        <w:t>ystem</w:t>
      </w:r>
      <w:r w:rsidRPr="00D54FCF">
        <w:rPr>
          <w:sz w:val="22"/>
          <w:szCs w:val="22"/>
        </w:rPr>
        <w:t xml:space="preserve">, and communicated to the persons and entities </w:t>
      </w:r>
      <w:r w:rsidR="00D07BE1" w:rsidRPr="00D54FCF">
        <w:rPr>
          <w:sz w:val="22"/>
          <w:szCs w:val="22"/>
        </w:rPr>
        <w:t>concerned</w:t>
      </w:r>
      <w:r w:rsidRPr="00D54FCF">
        <w:rPr>
          <w:sz w:val="22"/>
          <w:szCs w:val="22"/>
        </w:rPr>
        <w:t xml:space="preserve"> in relation to the award or the execution of a procurement contract.</w:t>
      </w:r>
    </w:p>
    <w:p w14:paraId="7C94EF17" w14:textId="77777777" w:rsidR="003436FE" w:rsidRPr="00AD64B5" w:rsidRDefault="008244BC" w:rsidP="000E38EE">
      <w:pPr>
        <w:spacing w:after="60"/>
        <w:jc w:val="both"/>
        <w:rPr>
          <w:sz w:val="22"/>
          <w:szCs w:val="22"/>
        </w:rPr>
      </w:pPr>
      <w:r w:rsidRPr="00D54FCF">
        <w:rPr>
          <w:sz w:val="22"/>
          <w:szCs w:val="22"/>
        </w:rPr>
        <w:t xml:space="preserve">For more information, you may consult the privacy statement available on </w:t>
      </w:r>
      <w:hyperlink r:id="rId19" w:history="1">
        <w:r w:rsidRPr="00D54FCF">
          <w:rPr>
            <w:rStyle w:val="Hyperlink"/>
            <w:sz w:val="22"/>
            <w:szCs w:val="22"/>
          </w:rPr>
          <w:t>http://ec.europa.eu/budget/explained/management/protecting/protect_en.cfm</w:t>
        </w:r>
      </w:hyperlink>
      <w:r w:rsidRPr="00956082">
        <w:rPr>
          <w:sz w:val="22"/>
          <w:szCs w:val="22"/>
        </w:rPr>
        <w:t xml:space="preserve"> </w:t>
      </w:r>
    </w:p>
    <w:p w14:paraId="78A54481" w14:textId="77777777" w:rsidR="003436FE" w:rsidRDefault="003436FE" w:rsidP="00135920">
      <w:pPr>
        <w:pStyle w:val="BodyText2"/>
        <w:tabs>
          <w:tab w:val="clear" w:pos="567"/>
          <w:tab w:val="left" w:pos="0"/>
          <w:tab w:val="left" w:pos="630"/>
        </w:tabs>
        <w:spacing w:before="120" w:after="120"/>
        <w:rPr>
          <w:sz w:val="22"/>
          <w:szCs w:val="22"/>
        </w:rPr>
      </w:pPr>
    </w:p>
    <w:p w14:paraId="1A231AF8" w14:textId="77777777" w:rsidR="00B93206" w:rsidRDefault="00B93206" w:rsidP="00135920">
      <w:pPr>
        <w:pStyle w:val="BodyText2"/>
        <w:tabs>
          <w:tab w:val="clear" w:pos="567"/>
          <w:tab w:val="left" w:pos="0"/>
          <w:tab w:val="left" w:pos="630"/>
        </w:tabs>
        <w:spacing w:before="120" w:after="120"/>
        <w:rPr>
          <w:sz w:val="22"/>
          <w:szCs w:val="22"/>
        </w:rPr>
      </w:pPr>
    </w:p>
    <w:p w14:paraId="4FCE4BAC" w14:textId="77777777" w:rsidR="00B93206" w:rsidRDefault="00B93206" w:rsidP="00135920">
      <w:pPr>
        <w:pStyle w:val="BodyText2"/>
        <w:tabs>
          <w:tab w:val="clear" w:pos="567"/>
          <w:tab w:val="left" w:pos="0"/>
          <w:tab w:val="left" w:pos="630"/>
        </w:tabs>
        <w:spacing w:before="120" w:after="120"/>
        <w:rPr>
          <w:sz w:val="22"/>
          <w:szCs w:val="22"/>
        </w:rPr>
      </w:pPr>
    </w:p>
    <w:p w14:paraId="3839EC70" w14:textId="77777777" w:rsidR="00B93206" w:rsidRDefault="00B93206" w:rsidP="00135920">
      <w:pPr>
        <w:pStyle w:val="BodyText2"/>
        <w:tabs>
          <w:tab w:val="clear" w:pos="567"/>
          <w:tab w:val="left" w:pos="0"/>
          <w:tab w:val="left" w:pos="630"/>
        </w:tabs>
        <w:spacing w:before="120" w:after="120"/>
        <w:rPr>
          <w:sz w:val="22"/>
          <w:szCs w:val="22"/>
        </w:rPr>
      </w:pPr>
    </w:p>
    <w:p w14:paraId="21304E32" w14:textId="77777777" w:rsidR="00B93206" w:rsidRDefault="00B93206" w:rsidP="00135920">
      <w:pPr>
        <w:pStyle w:val="BodyText2"/>
        <w:tabs>
          <w:tab w:val="clear" w:pos="567"/>
          <w:tab w:val="left" w:pos="0"/>
          <w:tab w:val="left" w:pos="630"/>
        </w:tabs>
        <w:spacing w:before="120" w:after="120"/>
        <w:rPr>
          <w:sz w:val="22"/>
          <w:szCs w:val="22"/>
        </w:rPr>
      </w:pPr>
    </w:p>
    <w:p w14:paraId="55348EE8" w14:textId="77777777" w:rsidR="00B93206" w:rsidRDefault="00B93206" w:rsidP="00135920">
      <w:pPr>
        <w:pStyle w:val="BodyText2"/>
        <w:tabs>
          <w:tab w:val="clear" w:pos="567"/>
          <w:tab w:val="left" w:pos="0"/>
          <w:tab w:val="left" w:pos="630"/>
        </w:tabs>
        <w:spacing w:before="120" w:after="120"/>
        <w:rPr>
          <w:sz w:val="22"/>
          <w:szCs w:val="22"/>
        </w:rPr>
      </w:pPr>
    </w:p>
    <w:p w14:paraId="5C5B43B4" w14:textId="77777777" w:rsidR="00B93206" w:rsidRDefault="00B93206" w:rsidP="00135920">
      <w:pPr>
        <w:pStyle w:val="BodyText2"/>
        <w:tabs>
          <w:tab w:val="clear" w:pos="567"/>
          <w:tab w:val="left" w:pos="0"/>
          <w:tab w:val="left" w:pos="630"/>
        </w:tabs>
        <w:spacing w:before="120" w:after="120"/>
        <w:rPr>
          <w:sz w:val="22"/>
          <w:szCs w:val="22"/>
        </w:rPr>
      </w:pPr>
    </w:p>
    <w:p w14:paraId="34414009" w14:textId="77777777" w:rsidR="00B93206" w:rsidRDefault="00B93206" w:rsidP="00135920">
      <w:pPr>
        <w:pStyle w:val="BodyText2"/>
        <w:tabs>
          <w:tab w:val="clear" w:pos="567"/>
          <w:tab w:val="left" w:pos="0"/>
          <w:tab w:val="left" w:pos="630"/>
        </w:tabs>
        <w:spacing w:before="120" w:after="120"/>
        <w:rPr>
          <w:sz w:val="22"/>
          <w:szCs w:val="22"/>
        </w:rPr>
      </w:pPr>
    </w:p>
    <w:p w14:paraId="46426579" w14:textId="77777777" w:rsidR="00B93206" w:rsidRDefault="00B93206" w:rsidP="00135920">
      <w:pPr>
        <w:pStyle w:val="BodyText2"/>
        <w:tabs>
          <w:tab w:val="clear" w:pos="567"/>
          <w:tab w:val="left" w:pos="0"/>
          <w:tab w:val="left" w:pos="630"/>
        </w:tabs>
        <w:spacing w:before="120" w:after="120"/>
        <w:rPr>
          <w:sz w:val="22"/>
          <w:szCs w:val="22"/>
        </w:rPr>
      </w:pPr>
    </w:p>
    <w:p w14:paraId="7C3BA261" w14:textId="77777777" w:rsidR="00B93206" w:rsidRDefault="00B93206" w:rsidP="00135920">
      <w:pPr>
        <w:pStyle w:val="BodyText2"/>
        <w:tabs>
          <w:tab w:val="clear" w:pos="567"/>
          <w:tab w:val="left" w:pos="0"/>
          <w:tab w:val="left" w:pos="630"/>
        </w:tabs>
        <w:spacing w:before="120" w:after="120"/>
        <w:rPr>
          <w:sz w:val="22"/>
          <w:szCs w:val="22"/>
        </w:rPr>
      </w:pPr>
    </w:p>
    <w:p w14:paraId="16D151C3" w14:textId="77777777" w:rsidR="00B93206" w:rsidRDefault="00B93206" w:rsidP="00135920">
      <w:pPr>
        <w:pStyle w:val="BodyText2"/>
        <w:tabs>
          <w:tab w:val="clear" w:pos="567"/>
          <w:tab w:val="left" w:pos="0"/>
          <w:tab w:val="left" w:pos="630"/>
        </w:tabs>
        <w:spacing w:before="120" w:after="120"/>
        <w:rPr>
          <w:sz w:val="22"/>
          <w:szCs w:val="22"/>
        </w:rPr>
      </w:pPr>
    </w:p>
    <w:p w14:paraId="14A44D25" w14:textId="77777777" w:rsidR="00B93206" w:rsidRDefault="00B93206" w:rsidP="00135920">
      <w:pPr>
        <w:pStyle w:val="BodyText2"/>
        <w:tabs>
          <w:tab w:val="clear" w:pos="567"/>
          <w:tab w:val="left" w:pos="0"/>
          <w:tab w:val="left" w:pos="630"/>
        </w:tabs>
        <w:spacing w:before="120" w:after="120"/>
        <w:rPr>
          <w:sz w:val="22"/>
          <w:szCs w:val="22"/>
        </w:rPr>
        <w:sectPr w:rsidR="00B93206" w:rsidSect="003C5CBF">
          <w:footerReference w:type="default" r:id="rId20"/>
          <w:pgSz w:w="11906" w:h="16838"/>
          <w:pgMar w:top="1440" w:right="1800" w:bottom="1440" w:left="1800" w:header="720" w:footer="720" w:gutter="0"/>
          <w:cols w:space="720"/>
          <w:docGrid w:linePitch="272"/>
        </w:sectPr>
      </w:pPr>
    </w:p>
    <w:p w14:paraId="0403EF00" w14:textId="2EF1FDD9" w:rsidR="00B93206" w:rsidRPr="002B370E" w:rsidRDefault="00B93206" w:rsidP="00135920">
      <w:pPr>
        <w:pStyle w:val="BodyText2"/>
        <w:tabs>
          <w:tab w:val="clear" w:pos="567"/>
          <w:tab w:val="left" w:pos="0"/>
          <w:tab w:val="left" w:pos="630"/>
        </w:tabs>
        <w:spacing w:before="120" w:after="120"/>
        <w:rPr>
          <w:sz w:val="22"/>
          <w:szCs w:val="22"/>
        </w:rPr>
      </w:pPr>
    </w:p>
    <w:sectPr w:rsidR="00B93206" w:rsidRPr="002B370E" w:rsidSect="00226713">
      <w:headerReference w:type="default" r:id="rId21"/>
      <w:footerReference w:type="default" r:id="rId22"/>
      <w:pgSz w:w="11906" w:h="16838"/>
      <w:pgMar w:top="1440" w:right="1800" w:bottom="1440" w:left="1800" w:header="144" w:footer="14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54F0B4" w14:textId="77777777" w:rsidR="00D4121D" w:rsidRDefault="00D4121D">
      <w:r>
        <w:separator/>
      </w:r>
    </w:p>
  </w:endnote>
  <w:endnote w:type="continuationSeparator" w:id="0">
    <w:p w14:paraId="5CAED7E6" w14:textId="77777777" w:rsidR="00D4121D" w:rsidRDefault="00D41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C3083"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446DFE16" w14:textId="77777777" w:rsidR="00C06F58" w:rsidRDefault="00C06F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CC4CD4" w14:textId="77777777" w:rsidR="008A0496" w:rsidRPr="008A0496" w:rsidRDefault="008A0496" w:rsidP="008A0496">
    <w:pPr>
      <w:widowControl w:val="0"/>
      <w:tabs>
        <w:tab w:val="right" w:pos="9214"/>
      </w:tabs>
      <w:spacing w:before="120"/>
      <w:rPr>
        <w:b/>
        <w:snapToGrid w:val="0"/>
        <w:lang w:eastAsia="en-US"/>
      </w:rPr>
    </w:pPr>
    <w:r w:rsidRPr="008A0496">
      <w:rPr>
        <w:b/>
        <w:snapToGrid w:val="0"/>
        <w:lang w:val="en-US" w:eastAsia="en-US"/>
      </w:rPr>
      <w:t>August 2020</w:t>
    </w:r>
    <w:r w:rsidRPr="008A0496">
      <w:rPr>
        <w:snapToGrid w:val="0"/>
        <w:sz w:val="18"/>
        <w:szCs w:val="18"/>
        <w:lang w:eastAsia="en-US"/>
      </w:rPr>
      <w:tab/>
      <w:t xml:space="preserve">Page </w:t>
    </w:r>
    <w:r w:rsidRPr="008A0496">
      <w:rPr>
        <w:snapToGrid w:val="0"/>
        <w:sz w:val="18"/>
        <w:szCs w:val="18"/>
        <w:lang w:eastAsia="en-US"/>
      </w:rPr>
      <w:fldChar w:fldCharType="begin"/>
    </w:r>
    <w:r w:rsidRPr="008A0496">
      <w:rPr>
        <w:snapToGrid w:val="0"/>
        <w:sz w:val="18"/>
        <w:szCs w:val="18"/>
        <w:lang w:eastAsia="en-US"/>
      </w:rPr>
      <w:instrText xml:space="preserve"> PAGE </w:instrText>
    </w:r>
    <w:r w:rsidRPr="008A0496">
      <w:rPr>
        <w:snapToGrid w:val="0"/>
        <w:sz w:val="18"/>
        <w:szCs w:val="18"/>
        <w:lang w:eastAsia="en-US"/>
      </w:rPr>
      <w:fldChar w:fldCharType="separate"/>
    </w:r>
    <w:r w:rsidR="00A21F31">
      <w:rPr>
        <w:noProof/>
        <w:snapToGrid w:val="0"/>
        <w:sz w:val="18"/>
        <w:szCs w:val="18"/>
        <w:lang w:eastAsia="en-US"/>
      </w:rPr>
      <w:t>5</w:t>
    </w:r>
    <w:r w:rsidRPr="008A0496">
      <w:rPr>
        <w:snapToGrid w:val="0"/>
        <w:sz w:val="18"/>
        <w:szCs w:val="18"/>
        <w:lang w:eastAsia="en-US"/>
      </w:rPr>
      <w:fldChar w:fldCharType="end"/>
    </w:r>
    <w:r w:rsidRPr="008A0496">
      <w:rPr>
        <w:snapToGrid w:val="0"/>
        <w:sz w:val="18"/>
        <w:szCs w:val="18"/>
        <w:lang w:eastAsia="en-US"/>
      </w:rPr>
      <w:t xml:space="preserve"> of </w:t>
    </w:r>
    <w:r w:rsidRPr="008A0496">
      <w:rPr>
        <w:snapToGrid w:val="0"/>
        <w:sz w:val="18"/>
        <w:szCs w:val="18"/>
        <w:lang w:eastAsia="en-US"/>
      </w:rPr>
      <w:fldChar w:fldCharType="begin"/>
    </w:r>
    <w:r w:rsidRPr="008A0496">
      <w:rPr>
        <w:snapToGrid w:val="0"/>
        <w:sz w:val="18"/>
        <w:szCs w:val="18"/>
        <w:lang w:eastAsia="en-US"/>
      </w:rPr>
      <w:instrText xml:space="preserve"> NUMPAGES   \* MERGEFORMAT </w:instrText>
    </w:r>
    <w:r w:rsidRPr="008A0496">
      <w:rPr>
        <w:snapToGrid w:val="0"/>
        <w:sz w:val="18"/>
        <w:szCs w:val="18"/>
        <w:lang w:eastAsia="en-US"/>
      </w:rPr>
      <w:fldChar w:fldCharType="separate"/>
    </w:r>
    <w:r w:rsidR="00A21F31">
      <w:rPr>
        <w:noProof/>
        <w:snapToGrid w:val="0"/>
        <w:sz w:val="18"/>
        <w:szCs w:val="18"/>
        <w:lang w:eastAsia="en-US"/>
      </w:rPr>
      <w:t>14</w:t>
    </w:r>
    <w:r w:rsidRPr="008A0496">
      <w:rPr>
        <w:snapToGrid w:val="0"/>
        <w:sz w:val="18"/>
        <w:szCs w:val="18"/>
        <w:lang w:eastAsia="en-US"/>
      </w:rPr>
      <w:fldChar w:fldCharType="end"/>
    </w:r>
  </w:p>
  <w:p w14:paraId="7524C73C" w14:textId="437215D2" w:rsidR="00C06F58" w:rsidRPr="008A0496" w:rsidRDefault="008A0496" w:rsidP="008A0496">
    <w:pPr>
      <w:widowControl w:val="0"/>
      <w:tabs>
        <w:tab w:val="center" w:pos="4320"/>
        <w:tab w:val="right" w:pos="8640"/>
      </w:tabs>
      <w:rPr>
        <w:snapToGrid w:val="0"/>
        <w:sz w:val="24"/>
        <w:lang w:eastAsia="en-US"/>
      </w:rPr>
    </w:pPr>
    <w:r w:rsidRPr="008A0496">
      <w:rPr>
        <w:snapToGrid w:val="0"/>
        <w:sz w:val="18"/>
        <w:szCs w:val="18"/>
        <w:lang w:eastAsia="en-US"/>
      </w:rPr>
      <w:fldChar w:fldCharType="begin"/>
    </w:r>
    <w:r w:rsidRPr="008A0496">
      <w:rPr>
        <w:snapToGrid w:val="0"/>
        <w:sz w:val="18"/>
        <w:szCs w:val="18"/>
        <w:lang w:eastAsia="en-US"/>
      </w:rPr>
      <w:instrText xml:space="preserve"> FILENAME </w:instrText>
    </w:r>
    <w:r w:rsidRPr="008A0496">
      <w:rPr>
        <w:snapToGrid w:val="0"/>
        <w:sz w:val="18"/>
        <w:szCs w:val="18"/>
        <w:lang w:eastAsia="en-US"/>
      </w:rPr>
      <w:fldChar w:fldCharType="separate"/>
    </w:r>
    <w:r w:rsidRPr="008A0496">
      <w:rPr>
        <w:noProof/>
        <w:snapToGrid w:val="0"/>
        <w:sz w:val="18"/>
        <w:szCs w:val="18"/>
        <w:lang w:eastAsia="en-US"/>
      </w:rPr>
      <w:t>b8o3_contractnotice_simp_en.doc</w:t>
    </w:r>
    <w:r w:rsidRPr="008A0496">
      <w:rPr>
        <w:snapToGrid w:val="0"/>
        <w:sz w:val="18"/>
        <w:szCs w:val="18"/>
        <w:lang w:eastAsia="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AA148" w14:textId="77777777" w:rsidR="00C06F58" w:rsidRPr="002B370E" w:rsidRDefault="003C2433" w:rsidP="00695F78">
    <w:pPr>
      <w:pStyle w:val="Footer"/>
      <w:tabs>
        <w:tab w:val="clear" w:pos="4320"/>
        <w:tab w:val="clear" w:pos="8640"/>
        <w:tab w:val="right" w:pos="8080"/>
      </w:tabs>
      <w:spacing w:before="120"/>
      <w:rPr>
        <w:rStyle w:val="PageNumber"/>
        <w:sz w:val="18"/>
        <w:szCs w:val="18"/>
      </w:rPr>
    </w:pPr>
    <w:r>
      <w:rPr>
        <w:b/>
        <w:snapToGrid w:val="0"/>
        <w:sz w:val="18"/>
        <w:szCs w:val="18"/>
      </w:rPr>
      <w:t>May 2018</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3C5CBF">
      <w:rPr>
        <w:rStyle w:val="PageNumber"/>
        <w:noProof/>
        <w:sz w:val="18"/>
        <w:szCs w:val="18"/>
      </w:rPr>
      <w:t>18</w:t>
    </w:r>
    <w:r w:rsidR="00C06F58" w:rsidRPr="002B370E">
      <w:rPr>
        <w:rStyle w:val="PageNumber"/>
        <w:sz w:val="18"/>
        <w:szCs w:val="18"/>
      </w:rPr>
      <w:fldChar w:fldCharType="end"/>
    </w:r>
    <w:bookmarkStart w:id="0" w:name="_Hlt26943623"/>
    <w:bookmarkEnd w:id="0"/>
  </w:p>
  <w:p w14:paraId="136A2844"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3C5CBF">
      <w:rPr>
        <w:noProof/>
        <w:sz w:val="18"/>
        <w:szCs w:val="18"/>
      </w:rPr>
      <w:t>b8b_itt_en.doc</w:t>
    </w:r>
    <w:r w:rsidRPr="0049514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497E1" w14:textId="77777777" w:rsidR="008A0496" w:rsidRPr="002B370E" w:rsidRDefault="008A0496" w:rsidP="003C5CBF">
    <w:pPr>
      <w:pStyle w:val="Footer"/>
      <w:tabs>
        <w:tab w:val="clear" w:pos="4320"/>
        <w:tab w:val="clear" w:pos="8640"/>
        <w:tab w:val="right" w:pos="8080"/>
      </w:tabs>
      <w:spacing w:before="120"/>
      <w:rPr>
        <w:rStyle w:val="PageNumber"/>
      </w:rPr>
    </w:pPr>
    <w:r w:rsidRPr="007A33DE">
      <w:rPr>
        <w:b/>
        <w:sz w:val="18"/>
        <w:szCs w:val="18"/>
      </w:rPr>
      <w:t>August 2020</w:t>
    </w:r>
    <w:r w:rsidRPr="002B370E">
      <w:rPr>
        <w:rFonts w:ascii="Arial" w:hAnsi="Arial"/>
      </w:rPr>
      <w:tab/>
    </w:r>
    <w:r w:rsidRPr="002B370E">
      <w:t xml:space="preserve">Page </w:t>
    </w:r>
    <w:r w:rsidRPr="002B370E">
      <w:rPr>
        <w:rStyle w:val="PageNumber"/>
      </w:rPr>
      <w:fldChar w:fldCharType="begin"/>
    </w:r>
    <w:r w:rsidRPr="002B370E">
      <w:rPr>
        <w:rStyle w:val="PageNumber"/>
      </w:rPr>
      <w:instrText xml:space="preserve"> PAGE </w:instrText>
    </w:r>
    <w:r w:rsidRPr="002B370E">
      <w:rPr>
        <w:rStyle w:val="PageNumber"/>
      </w:rPr>
      <w:fldChar w:fldCharType="separate"/>
    </w:r>
    <w:r w:rsidR="00A21F31">
      <w:rPr>
        <w:rStyle w:val="PageNumber"/>
        <w:noProof/>
      </w:rPr>
      <w:t>7</w:t>
    </w:r>
    <w:r w:rsidRPr="002B370E">
      <w:rPr>
        <w:rStyle w:val="PageNumber"/>
      </w:rPr>
      <w:fldChar w:fldCharType="end"/>
    </w:r>
    <w:r w:rsidRPr="002B370E">
      <w:rPr>
        <w:rStyle w:val="PageNumber"/>
      </w:rPr>
      <w:t xml:space="preserve"> of </w:t>
    </w:r>
    <w:r w:rsidRPr="002B370E">
      <w:rPr>
        <w:rStyle w:val="PageNumber"/>
      </w:rPr>
      <w:fldChar w:fldCharType="begin"/>
    </w:r>
    <w:r w:rsidRPr="002B370E">
      <w:rPr>
        <w:rStyle w:val="PageNumber"/>
      </w:rPr>
      <w:instrText xml:space="preserve"> NUMPAGES </w:instrText>
    </w:r>
    <w:r w:rsidRPr="002B370E">
      <w:rPr>
        <w:rStyle w:val="PageNumber"/>
      </w:rPr>
      <w:fldChar w:fldCharType="separate"/>
    </w:r>
    <w:r w:rsidR="00A21F31">
      <w:rPr>
        <w:rStyle w:val="PageNumber"/>
        <w:noProof/>
      </w:rPr>
      <w:t>14</w:t>
    </w:r>
    <w:r w:rsidRPr="002B370E">
      <w:rPr>
        <w:rStyle w:val="PageNumber"/>
      </w:rPr>
      <w:fldChar w:fldCharType="end"/>
    </w:r>
  </w:p>
  <w:p w14:paraId="2B234637" w14:textId="77777777" w:rsidR="008A0496" w:rsidRPr="002B370E" w:rsidRDefault="008A0496" w:rsidP="003436FE">
    <w:pPr>
      <w:pStyle w:val="Footer"/>
      <w:tabs>
        <w:tab w:val="clear" w:pos="4320"/>
        <w:tab w:val="clear" w:pos="8640"/>
        <w:tab w:val="right" w:pos="8080"/>
      </w:tabs>
    </w:pPr>
    <w:r>
      <w:rPr>
        <w:noProof/>
      </w:rPr>
      <w:fldChar w:fldCharType="begin"/>
    </w:r>
    <w:r>
      <w:rPr>
        <w:noProof/>
      </w:rPr>
      <w:instrText xml:space="preserve"> FILENAME </w:instrText>
    </w:r>
    <w:r>
      <w:rPr>
        <w:noProof/>
      </w:rPr>
      <w:fldChar w:fldCharType="separate"/>
    </w:r>
    <w:r>
      <w:rPr>
        <w:noProof/>
      </w:rPr>
      <w:t>b8b_itt_en.doc</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55A666" w14:textId="78F5A76E" w:rsidR="00B93206" w:rsidRPr="00B93206" w:rsidRDefault="008A7678" w:rsidP="00226713">
    <w:pPr>
      <w:tabs>
        <w:tab w:val="center" w:pos="4680"/>
        <w:tab w:val="right" w:pos="9360"/>
      </w:tabs>
      <w:ind w:right="-576"/>
      <w:rPr>
        <w:rFonts w:ascii="Calibri" w:eastAsia="Calibri" w:hAnsi="Calibri"/>
        <w:i/>
        <w:sz w:val="17"/>
        <w:szCs w:val="17"/>
        <w:lang w:val="mk-MK" w:eastAsia="en-US"/>
      </w:rPr>
    </w:pPr>
    <w:r>
      <w:rPr>
        <w:noProof/>
        <w:lang w:val="en-US" w:eastAsia="en-US"/>
      </w:rPr>
      <w:drawing>
        <wp:anchor distT="0" distB="0" distL="114300" distR="114300" simplePos="0" relativeHeight="251659776" behindDoc="1" locked="0" layoutInCell="1" allowOverlap="1" wp14:anchorId="28D160A7" wp14:editId="636D7385">
          <wp:simplePos x="0" y="0"/>
          <wp:positionH relativeFrom="margin">
            <wp:posOffset>-1297940</wp:posOffset>
          </wp:positionH>
          <wp:positionV relativeFrom="margin">
            <wp:posOffset>8387080</wp:posOffset>
          </wp:positionV>
          <wp:extent cx="7870825" cy="1200150"/>
          <wp:effectExtent l="0" t="0" r="0" b="0"/>
          <wp:wrapSquare wrapText="bothSides"/>
          <wp:docPr id="12" name="Picture 11" descr="Logo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a-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70825" cy="1200150"/>
                  </a:xfrm>
                  <a:prstGeom prst="rect">
                    <a:avLst/>
                  </a:prstGeom>
                  <a:noFill/>
                </pic:spPr>
              </pic:pic>
            </a:graphicData>
          </a:graphic>
          <wp14:sizeRelH relativeFrom="page">
            <wp14:pctWidth>0</wp14:pctWidth>
          </wp14:sizeRelH>
          <wp14:sizeRelV relativeFrom="page">
            <wp14:pctHeight>0</wp14:pctHeight>
          </wp14:sizeRelV>
        </wp:anchor>
      </w:drawing>
    </w:r>
    <w:r w:rsidR="00B93206" w:rsidRPr="00B93206">
      <w:rPr>
        <w:rFonts w:ascii="Calibri" w:eastAsia="Calibri" w:hAnsi="Calibri"/>
        <w:i/>
        <w:sz w:val="17"/>
        <w:szCs w:val="17"/>
        <w:lang w:val="mk-MK" w:eastAsia="en-US"/>
      </w:rPr>
      <w:t>Содржината на овој документ, неговата имплементација и резулт</w:t>
    </w:r>
    <w:r w:rsidR="00B93206">
      <w:rPr>
        <w:rFonts w:ascii="Calibri" w:eastAsia="Calibri" w:hAnsi="Calibri"/>
        <w:i/>
        <w:sz w:val="17"/>
        <w:szCs w:val="17"/>
        <w:lang w:val="mk-MK" w:eastAsia="en-US"/>
      </w:rPr>
      <w:t>атите од проектот се единствена</w:t>
    </w:r>
    <w:r w:rsidR="00B93206">
      <w:rPr>
        <w:rFonts w:ascii="Calibri" w:eastAsia="Calibri" w:hAnsi="Calibri"/>
        <w:i/>
        <w:sz w:val="17"/>
        <w:szCs w:val="17"/>
        <w:lang w:val="en-US" w:eastAsia="en-US"/>
      </w:rPr>
      <w:t xml:space="preserve"> </w:t>
    </w:r>
    <w:r w:rsidR="00B93206" w:rsidRPr="00B93206">
      <w:rPr>
        <w:rFonts w:ascii="Calibri" w:eastAsia="Calibri" w:hAnsi="Calibri"/>
        <w:i/>
        <w:sz w:val="17"/>
        <w:szCs w:val="17"/>
        <w:lang w:val="mk-MK" w:eastAsia="en-US"/>
      </w:rPr>
      <w:t>одговорност на Finance Think, Агора, Квантум Прима и Лаг Агро Лидер и не ги одразуваат ставовите на Европската унија</w:t>
    </w:r>
    <w:r>
      <w:rPr>
        <w:noProof/>
        <w:lang w:val="en-US" w:eastAsia="en-US"/>
      </w:rPr>
      <w:drawing>
        <wp:anchor distT="0" distB="0" distL="114300" distR="114300" simplePos="0" relativeHeight="251658752" behindDoc="1" locked="0" layoutInCell="1" allowOverlap="1" wp14:anchorId="15EAC23B" wp14:editId="331230FA">
          <wp:simplePos x="0" y="0"/>
          <wp:positionH relativeFrom="column">
            <wp:posOffset>-46990</wp:posOffset>
          </wp:positionH>
          <wp:positionV relativeFrom="paragraph">
            <wp:posOffset>4432300</wp:posOffset>
          </wp:positionV>
          <wp:extent cx="7870825" cy="1200150"/>
          <wp:effectExtent l="0" t="0" r="0" b="0"/>
          <wp:wrapNone/>
          <wp:docPr id="8" name="Picture 1" descr="Logo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a-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70825" cy="120015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7728" behindDoc="1" locked="0" layoutInCell="1" allowOverlap="1" wp14:anchorId="73AC3A88" wp14:editId="613EF8C3">
          <wp:simplePos x="0" y="0"/>
          <wp:positionH relativeFrom="column">
            <wp:posOffset>-85090</wp:posOffset>
          </wp:positionH>
          <wp:positionV relativeFrom="paragraph">
            <wp:posOffset>8670925</wp:posOffset>
          </wp:positionV>
          <wp:extent cx="7870825" cy="1200150"/>
          <wp:effectExtent l="0" t="0" r="0" b="0"/>
          <wp:wrapNone/>
          <wp:docPr id="7" name="Picture 2" descr="Logo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a-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70825" cy="120015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56704" behindDoc="1" locked="0" layoutInCell="1" allowOverlap="1" wp14:anchorId="2994C8E0" wp14:editId="57BE6642">
          <wp:simplePos x="0" y="0"/>
          <wp:positionH relativeFrom="column">
            <wp:posOffset>-85090</wp:posOffset>
          </wp:positionH>
          <wp:positionV relativeFrom="paragraph">
            <wp:posOffset>8670925</wp:posOffset>
          </wp:positionV>
          <wp:extent cx="7870825" cy="1200150"/>
          <wp:effectExtent l="0" t="0" r="0" b="0"/>
          <wp:wrapNone/>
          <wp:docPr id="6" name="Picture 3" descr="Logoa-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a-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70825" cy="120015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E4D4DA" w14:textId="77777777" w:rsidR="00D4121D" w:rsidRDefault="00D4121D">
      <w:r>
        <w:separator/>
      </w:r>
    </w:p>
  </w:footnote>
  <w:footnote w:type="continuationSeparator" w:id="0">
    <w:p w14:paraId="03F798D0" w14:textId="77777777" w:rsidR="00D4121D" w:rsidRDefault="00D4121D">
      <w:r>
        <w:continuationSeparator/>
      </w:r>
    </w:p>
  </w:footnote>
  <w:footnote w:id="1">
    <w:p w14:paraId="57DFD73E" w14:textId="312D88E4" w:rsidR="00082167" w:rsidRPr="00082167" w:rsidRDefault="00082167">
      <w:pPr>
        <w:pStyle w:val="FootnoteText"/>
        <w:rPr>
          <w:lang w:val="en-US"/>
        </w:rPr>
      </w:pPr>
      <w:r>
        <w:rPr>
          <w:rStyle w:val="FootnoteReference"/>
        </w:rPr>
        <w:footnoteRef/>
      </w:r>
      <w:r>
        <w:t xml:space="preserve"> Finance Think</w:t>
      </w:r>
      <w:r w:rsidR="00FA64CC">
        <w:t xml:space="preserve">, Lag Agro </w:t>
      </w:r>
      <w:proofErr w:type="spellStart"/>
      <w:r w:rsidR="00FA64CC">
        <w:t>Lider</w:t>
      </w:r>
      <w:proofErr w:type="spellEnd"/>
      <w:r w:rsidR="00FA64CC">
        <w:t xml:space="preserve"> and </w:t>
      </w:r>
      <w:proofErr w:type="spellStart"/>
      <w:r w:rsidR="00FA64CC">
        <w:t>Kvantum</w:t>
      </w:r>
      <w:proofErr w:type="spellEnd"/>
      <w:r w:rsidR="00FA64CC">
        <w:t xml:space="preserve"> Prima are responsible for data collection.</w:t>
      </w:r>
    </w:p>
  </w:footnote>
  <w:footnote w:id="2">
    <w:p w14:paraId="379172AD" w14:textId="77777777" w:rsidR="00883936" w:rsidRPr="001352B5" w:rsidRDefault="00883936">
      <w:pPr>
        <w:pStyle w:val="FootnoteText"/>
      </w:pPr>
      <w:r>
        <w:rPr>
          <w:rStyle w:val="FootnoteReference"/>
        </w:rPr>
        <w:footnoteRef/>
      </w:r>
      <w:r>
        <w:t xml:space="preserve"> </w:t>
      </w:r>
      <w:r w:rsidRPr="00695F78">
        <w:t>It is recommended to use registered mail in case the postmark would not be readable</w:t>
      </w:r>
      <w:r w:rsidR="00917F5E" w:rsidRPr="00695F7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EC58B" w14:textId="77777777" w:rsidR="00C06F58" w:rsidRPr="00AD4777" w:rsidRDefault="00C06F58">
    <w:pPr>
      <w:pStyle w:val="Header"/>
      <w:jc w:val="center"/>
      <w:rPr>
        <w:b/>
        <w:sz w:val="32"/>
        <w:szCs w:val="32"/>
      </w:rPr>
    </w:pPr>
    <w:r w:rsidRPr="00AD4777">
      <w:rPr>
        <w:b/>
        <w:sz w:val="32"/>
        <w:szCs w:val="32"/>
      </w:rPr>
      <w:t>INSTRUCTIONS TO TENDERERS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2612" w:type="dxa"/>
      <w:tblInd w:w="-1692" w:type="dxa"/>
      <w:tblLook w:val="00A0" w:firstRow="1" w:lastRow="0" w:firstColumn="1" w:lastColumn="0" w:noHBand="0" w:noVBand="0"/>
    </w:tblPr>
    <w:tblGrid>
      <w:gridCol w:w="1930"/>
      <w:gridCol w:w="8750"/>
      <w:gridCol w:w="1932"/>
    </w:tblGrid>
    <w:tr w:rsidR="00B93206" w:rsidRPr="00695F2C" w14:paraId="5A21546C" w14:textId="77777777" w:rsidTr="00B93206">
      <w:trPr>
        <w:trHeight w:val="1350"/>
      </w:trPr>
      <w:tc>
        <w:tcPr>
          <w:tcW w:w="1930" w:type="dxa"/>
          <w:shd w:val="clear" w:color="auto" w:fill="365F91"/>
        </w:tcPr>
        <w:p w14:paraId="307391E8" w14:textId="47E20305" w:rsidR="00B93206" w:rsidRPr="00695F2C" w:rsidRDefault="008A7678" w:rsidP="00B93206">
          <w:pPr>
            <w:pStyle w:val="Header"/>
            <w:tabs>
              <w:tab w:val="left" w:pos="6735"/>
            </w:tabs>
          </w:pPr>
          <w:r>
            <w:rPr>
              <w:noProof/>
              <w:lang w:val="en-US" w:eastAsia="en-US"/>
            </w:rPr>
            <w:drawing>
              <wp:anchor distT="0" distB="0" distL="114300" distR="114300" simplePos="0" relativeHeight="251655680" behindDoc="0" locked="0" layoutInCell="1" allowOverlap="1" wp14:anchorId="66F68FFC" wp14:editId="49F7F0E9">
                <wp:simplePos x="0" y="0"/>
                <wp:positionH relativeFrom="column">
                  <wp:posOffset>692150</wp:posOffset>
                </wp:positionH>
                <wp:positionV relativeFrom="paragraph">
                  <wp:posOffset>57150</wp:posOffset>
                </wp:positionV>
                <wp:extent cx="781050" cy="781050"/>
                <wp:effectExtent l="0" t="0" r="0" b="0"/>
                <wp:wrapNone/>
                <wp:docPr id="2" name="Picture 6" descr="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pic:spPr>
                    </pic:pic>
                  </a:graphicData>
                </a:graphic>
                <wp14:sizeRelH relativeFrom="page">
                  <wp14:pctWidth>0</wp14:pctWidth>
                </wp14:sizeRelH>
                <wp14:sizeRelV relativeFrom="page">
                  <wp14:pctHeight>0</wp14:pctHeight>
                </wp14:sizeRelV>
              </wp:anchor>
            </w:drawing>
          </w:r>
        </w:p>
      </w:tc>
      <w:tc>
        <w:tcPr>
          <w:tcW w:w="8750" w:type="dxa"/>
          <w:shd w:val="clear" w:color="auto" w:fill="365F91"/>
        </w:tcPr>
        <w:p w14:paraId="5CB132D8" w14:textId="77777777" w:rsidR="00B93206" w:rsidRPr="00695F2C" w:rsidRDefault="00B93206" w:rsidP="00B93206">
          <w:pPr>
            <w:pStyle w:val="Header"/>
            <w:tabs>
              <w:tab w:val="left" w:pos="6735"/>
            </w:tabs>
            <w:jc w:val="center"/>
          </w:pPr>
        </w:p>
        <w:p w14:paraId="14F85FD7" w14:textId="77777777" w:rsidR="00B93206" w:rsidRDefault="00B93206" w:rsidP="00B93206">
          <w:pPr>
            <w:pStyle w:val="Header"/>
            <w:tabs>
              <w:tab w:val="left" w:pos="6735"/>
            </w:tabs>
            <w:jc w:val="center"/>
            <w:rPr>
              <w:rFonts w:ascii="Tahoma" w:hAnsi="Tahoma" w:cs="Tahoma"/>
              <w:b/>
              <w:color w:val="FFFFFF"/>
              <w:szCs w:val="24"/>
            </w:rPr>
          </w:pPr>
          <w:r>
            <w:rPr>
              <w:rFonts w:ascii="Tahoma" w:hAnsi="Tahoma" w:cs="Tahoma"/>
              <w:b/>
              <w:color w:val="FFFFFF"/>
              <w:szCs w:val="24"/>
            </w:rPr>
            <w:t xml:space="preserve"> </w:t>
          </w:r>
        </w:p>
        <w:p w14:paraId="178166A4" w14:textId="77777777" w:rsidR="00B93206" w:rsidRPr="00695F2C" w:rsidRDefault="00B93206" w:rsidP="00B93206">
          <w:pPr>
            <w:pStyle w:val="Header"/>
            <w:tabs>
              <w:tab w:val="left" w:pos="6735"/>
            </w:tabs>
            <w:jc w:val="center"/>
          </w:pPr>
          <w:r>
            <w:rPr>
              <w:rFonts w:ascii="Tahoma" w:hAnsi="Tahoma" w:cs="Tahoma"/>
              <w:b/>
              <w:color w:val="FFFFFF"/>
              <w:szCs w:val="24"/>
            </w:rPr>
            <w:t xml:space="preserve">     </w:t>
          </w:r>
          <w:proofErr w:type="spellStart"/>
          <w:r w:rsidRPr="00260A44">
            <w:rPr>
              <w:rFonts w:ascii="Tahoma" w:hAnsi="Tahoma" w:cs="Tahoma"/>
              <w:b/>
              <w:color w:val="FFFFFF"/>
              <w:szCs w:val="24"/>
            </w:rPr>
            <w:t>Мрежа</w:t>
          </w:r>
          <w:proofErr w:type="spellEnd"/>
          <w:r w:rsidRPr="00260A44">
            <w:rPr>
              <w:rFonts w:ascii="Tahoma" w:hAnsi="Tahoma" w:cs="Tahoma"/>
              <w:b/>
              <w:color w:val="FFFFFF"/>
              <w:szCs w:val="24"/>
            </w:rPr>
            <w:t xml:space="preserve"> FISCAST – </w:t>
          </w:r>
          <w:proofErr w:type="spellStart"/>
          <w:r w:rsidRPr="00260A44">
            <w:rPr>
              <w:rFonts w:ascii="Tahoma" w:hAnsi="Tahoma" w:cs="Tahoma"/>
              <w:b/>
              <w:color w:val="FFFFFF"/>
              <w:szCs w:val="24"/>
            </w:rPr>
            <w:t>Подобрување</w:t>
          </w:r>
          <w:proofErr w:type="spellEnd"/>
          <w:r w:rsidRPr="00260A44">
            <w:rPr>
              <w:rFonts w:ascii="Tahoma" w:hAnsi="Tahoma" w:cs="Tahoma"/>
              <w:b/>
              <w:color w:val="FFFFFF"/>
              <w:szCs w:val="24"/>
            </w:rPr>
            <w:t xml:space="preserve"> </w:t>
          </w:r>
          <w:proofErr w:type="spellStart"/>
          <w:r w:rsidRPr="00260A44">
            <w:rPr>
              <w:rFonts w:ascii="Tahoma" w:hAnsi="Tahoma" w:cs="Tahoma"/>
              <w:b/>
              <w:color w:val="FFFFFF"/>
              <w:szCs w:val="24"/>
            </w:rPr>
            <w:t>на</w:t>
          </w:r>
          <w:proofErr w:type="spellEnd"/>
          <w:r w:rsidRPr="00260A44">
            <w:rPr>
              <w:rFonts w:ascii="Tahoma" w:hAnsi="Tahoma" w:cs="Tahoma"/>
              <w:b/>
              <w:color w:val="FFFFFF"/>
              <w:szCs w:val="24"/>
            </w:rPr>
            <w:t xml:space="preserve"> </w:t>
          </w:r>
          <w:proofErr w:type="spellStart"/>
          <w:r w:rsidRPr="00260A44">
            <w:rPr>
              <w:rFonts w:ascii="Tahoma" w:hAnsi="Tahoma" w:cs="Tahoma"/>
              <w:b/>
              <w:color w:val="FFFFFF"/>
              <w:szCs w:val="24"/>
            </w:rPr>
            <w:t>дијалогот</w:t>
          </w:r>
          <w:proofErr w:type="spellEnd"/>
          <w:r w:rsidRPr="00260A44">
            <w:rPr>
              <w:rFonts w:ascii="Tahoma" w:hAnsi="Tahoma" w:cs="Tahoma"/>
              <w:b/>
              <w:color w:val="FFFFFF"/>
              <w:szCs w:val="24"/>
            </w:rPr>
            <w:t xml:space="preserve"> </w:t>
          </w:r>
          <w:proofErr w:type="spellStart"/>
          <w:r w:rsidRPr="00260A44">
            <w:rPr>
              <w:rFonts w:ascii="Tahoma" w:hAnsi="Tahoma" w:cs="Tahoma"/>
              <w:b/>
              <w:color w:val="FFFFFF"/>
              <w:szCs w:val="24"/>
            </w:rPr>
            <w:t>за</w:t>
          </w:r>
          <w:proofErr w:type="spellEnd"/>
          <w:r w:rsidRPr="00260A44">
            <w:rPr>
              <w:rFonts w:ascii="Tahoma" w:hAnsi="Tahoma" w:cs="Tahoma"/>
              <w:b/>
              <w:color w:val="FFFFFF"/>
              <w:szCs w:val="24"/>
            </w:rPr>
            <w:t xml:space="preserve"> </w:t>
          </w:r>
          <w:proofErr w:type="spellStart"/>
          <w:r w:rsidRPr="00260A44">
            <w:rPr>
              <w:rFonts w:ascii="Tahoma" w:hAnsi="Tahoma" w:cs="Tahoma"/>
              <w:b/>
              <w:color w:val="FFFFFF"/>
              <w:szCs w:val="24"/>
            </w:rPr>
            <w:t>поголема</w:t>
          </w:r>
          <w:proofErr w:type="spellEnd"/>
          <w:r w:rsidRPr="00260A44">
            <w:rPr>
              <w:rFonts w:ascii="Tahoma" w:hAnsi="Tahoma" w:cs="Tahoma"/>
              <w:b/>
              <w:color w:val="FFFFFF"/>
              <w:szCs w:val="24"/>
            </w:rPr>
            <w:t xml:space="preserve"> </w:t>
          </w:r>
          <w:proofErr w:type="spellStart"/>
          <w:r w:rsidRPr="00260A44">
            <w:rPr>
              <w:rFonts w:ascii="Tahoma" w:hAnsi="Tahoma" w:cs="Tahoma"/>
              <w:b/>
              <w:color w:val="FFFFFF"/>
              <w:szCs w:val="24"/>
            </w:rPr>
            <w:t>финансиска</w:t>
          </w:r>
          <w:proofErr w:type="spellEnd"/>
          <w:r w:rsidRPr="00260A44">
            <w:rPr>
              <w:rFonts w:ascii="Tahoma" w:hAnsi="Tahoma" w:cs="Tahoma"/>
              <w:b/>
              <w:color w:val="FFFFFF"/>
              <w:szCs w:val="24"/>
            </w:rPr>
            <w:t xml:space="preserve"> </w:t>
          </w:r>
          <w:r>
            <w:rPr>
              <w:rFonts w:ascii="Tahoma" w:hAnsi="Tahoma" w:cs="Tahoma"/>
              <w:b/>
              <w:color w:val="FFFFFF"/>
              <w:szCs w:val="24"/>
            </w:rPr>
            <w:t xml:space="preserve">                       </w:t>
          </w:r>
          <w:proofErr w:type="spellStart"/>
          <w:r w:rsidRPr="00260A44">
            <w:rPr>
              <w:rFonts w:ascii="Tahoma" w:hAnsi="Tahoma" w:cs="Tahoma"/>
              <w:b/>
              <w:color w:val="FFFFFF"/>
              <w:szCs w:val="24"/>
            </w:rPr>
            <w:t>транспарентност</w:t>
          </w:r>
          <w:proofErr w:type="spellEnd"/>
          <w:r w:rsidRPr="00260A44">
            <w:rPr>
              <w:rFonts w:ascii="Tahoma" w:hAnsi="Tahoma" w:cs="Tahoma"/>
              <w:b/>
              <w:color w:val="FFFFFF"/>
              <w:szCs w:val="24"/>
            </w:rPr>
            <w:t xml:space="preserve"> </w:t>
          </w:r>
          <w:proofErr w:type="spellStart"/>
          <w:r w:rsidRPr="00260A44">
            <w:rPr>
              <w:rFonts w:ascii="Tahoma" w:hAnsi="Tahoma" w:cs="Tahoma"/>
              <w:b/>
              <w:color w:val="FFFFFF"/>
              <w:szCs w:val="24"/>
            </w:rPr>
            <w:t>на</w:t>
          </w:r>
          <w:proofErr w:type="spellEnd"/>
          <w:r w:rsidRPr="00260A44">
            <w:rPr>
              <w:rFonts w:ascii="Tahoma" w:hAnsi="Tahoma" w:cs="Tahoma"/>
              <w:b/>
              <w:color w:val="FFFFFF"/>
              <w:szCs w:val="24"/>
            </w:rPr>
            <w:t xml:space="preserve"> </w:t>
          </w:r>
          <w:proofErr w:type="spellStart"/>
          <w:r w:rsidRPr="00260A44">
            <w:rPr>
              <w:rFonts w:ascii="Tahoma" w:hAnsi="Tahoma" w:cs="Tahoma"/>
              <w:b/>
              <w:color w:val="FFFFFF"/>
              <w:szCs w:val="24"/>
            </w:rPr>
            <w:t>општините</w:t>
          </w:r>
          <w:proofErr w:type="spellEnd"/>
          <w:r w:rsidRPr="00260A44">
            <w:rPr>
              <w:rFonts w:ascii="Tahoma" w:hAnsi="Tahoma" w:cs="Tahoma"/>
              <w:b/>
              <w:color w:val="FFFFFF"/>
              <w:szCs w:val="24"/>
            </w:rPr>
            <w:t xml:space="preserve">, </w:t>
          </w:r>
          <w:proofErr w:type="spellStart"/>
          <w:r w:rsidRPr="00260A44">
            <w:rPr>
              <w:rFonts w:ascii="Tahoma" w:hAnsi="Tahoma" w:cs="Tahoma"/>
              <w:b/>
              <w:color w:val="FFFFFF"/>
              <w:szCs w:val="24"/>
            </w:rPr>
            <w:t>со</w:t>
          </w:r>
          <w:proofErr w:type="spellEnd"/>
          <w:r w:rsidRPr="00260A44">
            <w:rPr>
              <w:rFonts w:ascii="Tahoma" w:hAnsi="Tahoma" w:cs="Tahoma"/>
              <w:b/>
              <w:color w:val="FFFFFF"/>
              <w:szCs w:val="24"/>
            </w:rPr>
            <w:t xml:space="preserve"> </w:t>
          </w:r>
          <w:proofErr w:type="spellStart"/>
          <w:r>
            <w:rPr>
              <w:rFonts w:ascii="Tahoma" w:hAnsi="Tahoma" w:cs="Tahoma"/>
              <w:b/>
              <w:color w:val="FFFFFF"/>
              <w:szCs w:val="24"/>
            </w:rPr>
            <w:t>фокус</w:t>
          </w:r>
          <w:proofErr w:type="spellEnd"/>
          <w:r>
            <w:rPr>
              <w:rFonts w:ascii="Tahoma" w:hAnsi="Tahoma" w:cs="Tahoma"/>
              <w:b/>
              <w:color w:val="FFFFFF"/>
              <w:szCs w:val="24"/>
            </w:rPr>
            <w:t xml:space="preserve"> </w:t>
          </w:r>
          <w:proofErr w:type="spellStart"/>
          <w:r>
            <w:rPr>
              <w:rFonts w:ascii="Tahoma" w:hAnsi="Tahoma" w:cs="Tahoma"/>
              <w:b/>
              <w:color w:val="FFFFFF"/>
              <w:szCs w:val="24"/>
            </w:rPr>
            <w:t>на</w:t>
          </w:r>
          <w:proofErr w:type="spellEnd"/>
          <w:r>
            <w:rPr>
              <w:rFonts w:ascii="Tahoma" w:hAnsi="Tahoma" w:cs="Tahoma"/>
              <w:b/>
              <w:color w:val="FFFFFF"/>
              <w:szCs w:val="24"/>
            </w:rPr>
            <w:t xml:space="preserve"> </w:t>
          </w:r>
          <w:proofErr w:type="spellStart"/>
          <w:r>
            <w:rPr>
              <w:rFonts w:ascii="Tahoma" w:hAnsi="Tahoma" w:cs="Tahoma"/>
              <w:b/>
              <w:color w:val="FFFFFF"/>
              <w:szCs w:val="24"/>
            </w:rPr>
            <w:t>парафискалните</w:t>
          </w:r>
          <w:proofErr w:type="spellEnd"/>
          <w:r>
            <w:rPr>
              <w:rFonts w:ascii="Tahoma" w:hAnsi="Tahoma" w:cs="Tahoma"/>
              <w:b/>
              <w:color w:val="FFFFFF"/>
              <w:szCs w:val="24"/>
            </w:rPr>
            <w:t xml:space="preserve"> </w:t>
          </w:r>
          <w:proofErr w:type="spellStart"/>
          <w:r>
            <w:rPr>
              <w:rFonts w:ascii="Tahoma" w:hAnsi="Tahoma" w:cs="Tahoma"/>
              <w:b/>
              <w:color w:val="FFFFFF"/>
              <w:szCs w:val="24"/>
            </w:rPr>
            <w:t>давачки</w:t>
          </w:r>
          <w:proofErr w:type="spellEnd"/>
        </w:p>
      </w:tc>
      <w:tc>
        <w:tcPr>
          <w:tcW w:w="1932" w:type="dxa"/>
          <w:shd w:val="clear" w:color="auto" w:fill="365F91"/>
        </w:tcPr>
        <w:p w14:paraId="5A4B6982" w14:textId="77777777" w:rsidR="00B93206" w:rsidRDefault="00B93206" w:rsidP="00B93206">
          <w:pPr>
            <w:pStyle w:val="Header"/>
            <w:tabs>
              <w:tab w:val="left" w:pos="6735"/>
            </w:tabs>
            <w:jc w:val="right"/>
          </w:pPr>
        </w:p>
        <w:p w14:paraId="1A1B8874" w14:textId="77777777" w:rsidR="00B93206" w:rsidRDefault="00B93206" w:rsidP="00B93206">
          <w:pPr>
            <w:pStyle w:val="Header"/>
            <w:tabs>
              <w:tab w:val="left" w:pos="6735"/>
            </w:tabs>
            <w:jc w:val="right"/>
          </w:pPr>
        </w:p>
        <w:p w14:paraId="2D4E9705" w14:textId="77777777" w:rsidR="00B93206" w:rsidRDefault="00B93206" w:rsidP="00B93206">
          <w:pPr>
            <w:pStyle w:val="Header"/>
            <w:tabs>
              <w:tab w:val="left" w:pos="6735"/>
            </w:tabs>
            <w:jc w:val="right"/>
          </w:pPr>
        </w:p>
        <w:p w14:paraId="3B045C3B" w14:textId="77777777" w:rsidR="00B93206" w:rsidRDefault="00B93206" w:rsidP="00B93206">
          <w:pPr>
            <w:pStyle w:val="Header"/>
            <w:tabs>
              <w:tab w:val="left" w:pos="6735"/>
            </w:tabs>
            <w:jc w:val="right"/>
          </w:pPr>
        </w:p>
        <w:p w14:paraId="31530CDD" w14:textId="77777777" w:rsidR="00B93206" w:rsidRPr="00695F2C" w:rsidRDefault="00B93206" w:rsidP="00B93206">
          <w:pPr>
            <w:pStyle w:val="Header"/>
            <w:tabs>
              <w:tab w:val="left" w:pos="6735"/>
            </w:tabs>
            <w:jc w:val="right"/>
          </w:pPr>
        </w:p>
      </w:tc>
    </w:tr>
  </w:tbl>
  <w:p w14:paraId="1B2B37B0" w14:textId="77777777" w:rsidR="00B93206" w:rsidRDefault="00B932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B42D80"/>
    <w:multiLevelType w:val="hybridMultilevel"/>
    <w:tmpl w:val="9ED830F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5B03B67"/>
    <w:multiLevelType w:val="singleLevel"/>
    <w:tmpl w:val="04090017"/>
    <w:lvl w:ilvl="0">
      <w:start w:val="1"/>
      <w:numFmt w:val="lowerLetter"/>
      <w:lvlText w:val="%1)"/>
      <w:lvlJc w:val="left"/>
      <w:pPr>
        <w:tabs>
          <w:tab w:val="num" w:pos="360"/>
        </w:tabs>
        <w:ind w:left="360" w:hanging="360"/>
      </w:pPr>
    </w:lvl>
  </w:abstractNum>
  <w:abstractNum w:abstractNumId="5">
    <w:nsid w:val="1D532B27"/>
    <w:multiLevelType w:val="hybridMultilevel"/>
    <w:tmpl w:val="19D42F0A"/>
    <w:lvl w:ilvl="0" w:tplc="EEA02D96">
      <w:start w:val="3"/>
      <w:numFmt w:val="decimal"/>
      <w:lvlText w:val="%1)"/>
      <w:lvlJc w:val="left"/>
      <w:pPr>
        <w:ind w:left="720" w:hanging="360"/>
      </w:pPr>
      <w:rPr>
        <w:rFonts w:hint="default"/>
        <w:b/>
        <w:u w:val="singl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C1143DB"/>
    <w:multiLevelType w:val="singleLevel"/>
    <w:tmpl w:val="A88E0254"/>
    <w:lvl w:ilvl="0">
      <w:start w:val="1"/>
      <w:numFmt w:val="lowerLetter"/>
      <w:lvlText w:val="%1)"/>
      <w:lvlJc w:val="left"/>
      <w:pPr>
        <w:tabs>
          <w:tab w:val="num" w:pos="360"/>
        </w:tabs>
        <w:ind w:left="360" w:hanging="360"/>
      </w:pPr>
    </w:lvl>
  </w:abstractNum>
  <w:abstractNum w:abstractNumId="7">
    <w:nsid w:val="2E6229BD"/>
    <w:multiLevelType w:val="hybridMultilevel"/>
    <w:tmpl w:val="D6CC01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0">
    <w:nsid w:val="3A0462C8"/>
    <w:multiLevelType w:val="hybridMultilevel"/>
    <w:tmpl w:val="A3CC7C3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3F351297"/>
    <w:multiLevelType w:val="hybridMultilevel"/>
    <w:tmpl w:val="6212CBA8"/>
    <w:lvl w:ilvl="0" w:tplc="08090011">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3740860"/>
    <w:multiLevelType w:val="hybridMultilevel"/>
    <w:tmpl w:val="4DFABD8C"/>
    <w:lvl w:ilvl="0" w:tplc="5F9C7E22">
      <w:start w:val="7"/>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CD60F6"/>
    <w:multiLevelType w:val="singleLevel"/>
    <w:tmpl w:val="04090001"/>
    <w:lvl w:ilvl="0">
      <w:start w:val="1"/>
      <w:numFmt w:val="bullet"/>
      <w:lvlText w:val=""/>
      <w:lvlJc w:val="left"/>
      <w:pPr>
        <w:ind w:left="720" w:hanging="360"/>
      </w:pPr>
      <w:rPr>
        <w:rFonts w:ascii="Symbol" w:hAnsi="Symbol" w:hint="default"/>
      </w:rPr>
    </w:lvl>
  </w:abstractNum>
  <w:abstractNum w:abstractNumId="14">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15">
    <w:nsid w:val="543A0C9A"/>
    <w:multiLevelType w:val="hybridMultilevel"/>
    <w:tmpl w:val="25D249AC"/>
    <w:lvl w:ilvl="0" w:tplc="30266C0A">
      <w:start w:val="7"/>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81026E6"/>
    <w:multiLevelType w:val="hybridMultilevel"/>
    <w:tmpl w:val="1AF8FC8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9">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2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21">
    <w:nsid w:val="69855124"/>
    <w:multiLevelType w:val="hybridMultilevel"/>
    <w:tmpl w:val="F62A6E1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AB15E16"/>
    <w:multiLevelType w:val="hybridMultilevel"/>
    <w:tmpl w:val="C1B24E50"/>
    <w:lvl w:ilvl="0" w:tplc="1E7AA9E8">
      <w:start w:val="7"/>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9F15DEF"/>
    <w:multiLevelType w:val="singleLevel"/>
    <w:tmpl w:val="D034F912"/>
    <w:lvl w:ilvl="0">
      <w:start w:val="1"/>
      <w:numFmt w:val="decimal"/>
      <w:lvlText w:val="%1)"/>
      <w:legacy w:legacy="1" w:legacySpace="0" w:legacyIndent="360"/>
      <w:lvlJc w:val="left"/>
      <w:pPr>
        <w:ind w:left="3195" w:hanging="360"/>
      </w:pPr>
    </w:lvl>
  </w:abstractNum>
  <w:abstractNum w:abstractNumId="24">
    <w:nsid w:val="7E77666D"/>
    <w:multiLevelType w:val="hybridMultilevel"/>
    <w:tmpl w:val="7E840FCC"/>
    <w:lvl w:ilvl="0" w:tplc="04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num w:numId="1">
    <w:abstractNumId w:val="9"/>
  </w:num>
  <w:num w:numId="2">
    <w:abstractNumId w:val="14"/>
  </w:num>
  <w:num w:numId="3">
    <w:abstractNumId w:val="19"/>
  </w:num>
  <w:num w:numId="4">
    <w:abstractNumId w:val="20"/>
  </w:num>
  <w:num w:numId="5">
    <w:abstractNumId w:val="6"/>
  </w:num>
  <w:num w:numId="6">
    <w:abstractNumId w:val="17"/>
  </w:num>
  <w:num w:numId="7">
    <w:abstractNumId w:val="18"/>
  </w:num>
  <w:num w:numId="8">
    <w:abstractNumId w:val="23"/>
  </w:num>
  <w:num w:numId="9">
    <w:abstractNumId w:val="0"/>
    <w:lvlOverride w:ilvl="0">
      <w:lvl w:ilvl="0">
        <w:numFmt w:val="bullet"/>
        <w:lvlText w:val=""/>
        <w:legacy w:legacy="1" w:legacySpace="0" w:legacyIndent="360"/>
        <w:lvlJc w:val="left"/>
        <w:pPr>
          <w:ind w:left="720" w:hanging="360"/>
        </w:pPr>
        <w:rPr>
          <w:rFonts w:ascii="Symbol" w:hAnsi="Symbol" w:hint="default"/>
        </w:rPr>
      </w:lvl>
    </w:lvlOverride>
  </w:num>
  <w:num w:numId="10">
    <w:abstractNumId w:val="2"/>
  </w:num>
  <w:num w:numId="11">
    <w:abstractNumId w:val="3"/>
  </w:num>
  <w:num w:numId="12">
    <w:abstractNumId w:val="13"/>
  </w:num>
  <w:num w:numId="13">
    <w:abstractNumId w:val="7"/>
  </w:num>
  <w:num w:numId="14">
    <w:abstractNumId w:val="24"/>
  </w:num>
  <w:num w:numId="15">
    <w:abstractNumId w:val="22"/>
  </w:num>
  <w:num w:numId="16">
    <w:abstractNumId w:val="21"/>
  </w:num>
  <w:num w:numId="17">
    <w:abstractNumId w:val="10"/>
  </w:num>
  <w:num w:numId="18">
    <w:abstractNumId w:val="1"/>
  </w:num>
  <w:num w:numId="19">
    <w:abstractNumId w:val="5"/>
  </w:num>
  <w:num w:numId="20">
    <w:abstractNumId w:val="8"/>
  </w:num>
  <w:num w:numId="21">
    <w:abstractNumId w:val="4"/>
  </w:num>
  <w:num w:numId="22">
    <w:abstractNumId w:val="11"/>
  </w:num>
  <w:num w:numId="23">
    <w:abstractNumId w:val="16"/>
  </w:num>
  <w:num w:numId="24">
    <w:abstractNumId w:val="12"/>
  </w:num>
  <w:num w:numId="25">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550F2"/>
    <w:rsid w:val="00004F73"/>
    <w:rsid w:val="00004FB1"/>
    <w:rsid w:val="00010683"/>
    <w:rsid w:val="00010DDE"/>
    <w:rsid w:val="00032480"/>
    <w:rsid w:val="000408EB"/>
    <w:rsid w:val="0004095E"/>
    <w:rsid w:val="00051CFE"/>
    <w:rsid w:val="00053FC9"/>
    <w:rsid w:val="0006359F"/>
    <w:rsid w:val="000648BB"/>
    <w:rsid w:val="00067614"/>
    <w:rsid w:val="00076624"/>
    <w:rsid w:val="000801ED"/>
    <w:rsid w:val="00082167"/>
    <w:rsid w:val="000913E8"/>
    <w:rsid w:val="0009366A"/>
    <w:rsid w:val="00095404"/>
    <w:rsid w:val="000A62E3"/>
    <w:rsid w:val="000A66D8"/>
    <w:rsid w:val="000B182D"/>
    <w:rsid w:val="000B7876"/>
    <w:rsid w:val="000D20D5"/>
    <w:rsid w:val="000D7C22"/>
    <w:rsid w:val="000E1546"/>
    <w:rsid w:val="000E38EE"/>
    <w:rsid w:val="000E4949"/>
    <w:rsid w:val="000E6A9C"/>
    <w:rsid w:val="00112620"/>
    <w:rsid w:val="00116389"/>
    <w:rsid w:val="001245A3"/>
    <w:rsid w:val="00132C2D"/>
    <w:rsid w:val="001352B5"/>
    <w:rsid w:val="00135920"/>
    <w:rsid w:val="00144191"/>
    <w:rsid w:val="001546D1"/>
    <w:rsid w:val="001671BA"/>
    <w:rsid w:val="001722D2"/>
    <w:rsid w:val="001905E9"/>
    <w:rsid w:val="00191BAF"/>
    <w:rsid w:val="001923A0"/>
    <w:rsid w:val="00195CF1"/>
    <w:rsid w:val="0019713F"/>
    <w:rsid w:val="001B0041"/>
    <w:rsid w:val="001B53F1"/>
    <w:rsid w:val="001C0F8D"/>
    <w:rsid w:val="001C41D4"/>
    <w:rsid w:val="001D4B42"/>
    <w:rsid w:val="001F05D0"/>
    <w:rsid w:val="00200F20"/>
    <w:rsid w:val="002145F0"/>
    <w:rsid w:val="002158DE"/>
    <w:rsid w:val="00216E18"/>
    <w:rsid w:val="002260AE"/>
    <w:rsid w:val="00226713"/>
    <w:rsid w:val="00230A4D"/>
    <w:rsid w:val="00236C06"/>
    <w:rsid w:val="00245C38"/>
    <w:rsid w:val="0025654F"/>
    <w:rsid w:val="00257FFE"/>
    <w:rsid w:val="0026737B"/>
    <w:rsid w:val="00267A6D"/>
    <w:rsid w:val="002766FC"/>
    <w:rsid w:val="00276EDD"/>
    <w:rsid w:val="00280DDC"/>
    <w:rsid w:val="00283114"/>
    <w:rsid w:val="00284DA4"/>
    <w:rsid w:val="00290ACC"/>
    <w:rsid w:val="002910D0"/>
    <w:rsid w:val="0029115A"/>
    <w:rsid w:val="00294800"/>
    <w:rsid w:val="00296532"/>
    <w:rsid w:val="002A1E7B"/>
    <w:rsid w:val="002A3E8D"/>
    <w:rsid w:val="002A5DA4"/>
    <w:rsid w:val="002B0E84"/>
    <w:rsid w:val="002B2217"/>
    <w:rsid w:val="002B2ACE"/>
    <w:rsid w:val="002B75E8"/>
    <w:rsid w:val="002C0AA5"/>
    <w:rsid w:val="002C0C3A"/>
    <w:rsid w:val="002C2963"/>
    <w:rsid w:val="002C2F4F"/>
    <w:rsid w:val="002C70AD"/>
    <w:rsid w:val="002D45FA"/>
    <w:rsid w:val="002D60B1"/>
    <w:rsid w:val="002F1FC0"/>
    <w:rsid w:val="002F4BAC"/>
    <w:rsid w:val="002F6273"/>
    <w:rsid w:val="003121C6"/>
    <w:rsid w:val="00320789"/>
    <w:rsid w:val="00323286"/>
    <w:rsid w:val="00324ED6"/>
    <w:rsid w:val="003352E7"/>
    <w:rsid w:val="00337A67"/>
    <w:rsid w:val="003436FE"/>
    <w:rsid w:val="003473B1"/>
    <w:rsid w:val="003560DB"/>
    <w:rsid w:val="00356F32"/>
    <w:rsid w:val="00360FEF"/>
    <w:rsid w:val="00364B4F"/>
    <w:rsid w:val="00367D4E"/>
    <w:rsid w:val="00372714"/>
    <w:rsid w:val="00383F09"/>
    <w:rsid w:val="003924DF"/>
    <w:rsid w:val="003942E2"/>
    <w:rsid w:val="00394C45"/>
    <w:rsid w:val="00395A65"/>
    <w:rsid w:val="00396D4A"/>
    <w:rsid w:val="003A168B"/>
    <w:rsid w:val="003A3451"/>
    <w:rsid w:val="003B1395"/>
    <w:rsid w:val="003B7ED9"/>
    <w:rsid w:val="003C2433"/>
    <w:rsid w:val="003C32A1"/>
    <w:rsid w:val="003C457E"/>
    <w:rsid w:val="003C5CBF"/>
    <w:rsid w:val="003E033C"/>
    <w:rsid w:val="003E1798"/>
    <w:rsid w:val="003E2B40"/>
    <w:rsid w:val="003E417C"/>
    <w:rsid w:val="003F11CA"/>
    <w:rsid w:val="003F36FE"/>
    <w:rsid w:val="00403BC2"/>
    <w:rsid w:val="0041609B"/>
    <w:rsid w:val="004174D2"/>
    <w:rsid w:val="00430CD6"/>
    <w:rsid w:val="00434237"/>
    <w:rsid w:val="0044291E"/>
    <w:rsid w:val="00443293"/>
    <w:rsid w:val="00462D3B"/>
    <w:rsid w:val="00463A51"/>
    <w:rsid w:val="00470D58"/>
    <w:rsid w:val="004723F7"/>
    <w:rsid w:val="004749D0"/>
    <w:rsid w:val="00477B81"/>
    <w:rsid w:val="00484B93"/>
    <w:rsid w:val="0048664A"/>
    <w:rsid w:val="00495144"/>
    <w:rsid w:val="004968C0"/>
    <w:rsid w:val="004974AA"/>
    <w:rsid w:val="00497F84"/>
    <w:rsid w:val="00497FEF"/>
    <w:rsid w:val="004A5395"/>
    <w:rsid w:val="004A759B"/>
    <w:rsid w:val="004B4058"/>
    <w:rsid w:val="004C2E96"/>
    <w:rsid w:val="004D2399"/>
    <w:rsid w:val="004F5052"/>
    <w:rsid w:val="0050060E"/>
    <w:rsid w:val="0050118C"/>
    <w:rsid w:val="00510846"/>
    <w:rsid w:val="00513581"/>
    <w:rsid w:val="00515F54"/>
    <w:rsid w:val="00517439"/>
    <w:rsid w:val="005174E0"/>
    <w:rsid w:val="005275DC"/>
    <w:rsid w:val="00531802"/>
    <w:rsid w:val="0053408B"/>
    <w:rsid w:val="00547D23"/>
    <w:rsid w:val="005510F3"/>
    <w:rsid w:val="005611F8"/>
    <w:rsid w:val="0056210A"/>
    <w:rsid w:val="0056414B"/>
    <w:rsid w:val="005653B8"/>
    <w:rsid w:val="005709BB"/>
    <w:rsid w:val="005733E1"/>
    <w:rsid w:val="00574C51"/>
    <w:rsid w:val="00574DD1"/>
    <w:rsid w:val="005759DB"/>
    <w:rsid w:val="00581B72"/>
    <w:rsid w:val="00582A5F"/>
    <w:rsid w:val="00594441"/>
    <w:rsid w:val="005946B1"/>
    <w:rsid w:val="005B1CFE"/>
    <w:rsid w:val="005B2947"/>
    <w:rsid w:val="005C0196"/>
    <w:rsid w:val="005C44AA"/>
    <w:rsid w:val="005D17B7"/>
    <w:rsid w:val="005E3B41"/>
    <w:rsid w:val="005F1EF3"/>
    <w:rsid w:val="005F48E6"/>
    <w:rsid w:val="00607779"/>
    <w:rsid w:val="00607822"/>
    <w:rsid w:val="0061177F"/>
    <w:rsid w:val="00617691"/>
    <w:rsid w:val="00617AC8"/>
    <w:rsid w:val="00617ECD"/>
    <w:rsid w:val="00625184"/>
    <w:rsid w:val="006259C8"/>
    <w:rsid w:val="006305CC"/>
    <w:rsid w:val="00632671"/>
    <w:rsid w:val="00634124"/>
    <w:rsid w:val="0063462A"/>
    <w:rsid w:val="006361BC"/>
    <w:rsid w:val="006365A9"/>
    <w:rsid w:val="006671A1"/>
    <w:rsid w:val="00671B3D"/>
    <w:rsid w:val="00681768"/>
    <w:rsid w:val="0069356A"/>
    <w:rsid w:val="0069477D"/>
    <w:rsid w:val="00695F78"/>
    <w:rsid w:val="006A1730"/>
    <w:rsid w:val="006A60D3"/>
    <w:rsid w:val="006B5D3E"/>
    <w:rsid w:val="006C13E7"/>
    <w:rsid w:val="006D3532"/>
    <w:rsid w:val="006D6595"/>
    <w:rsid w:val="006F085A"/>
    <w:rsid w:val="006F25A2"/>
    <w:rsid w:val="006F2E45"/>
    <w:rsid w:val="006F5D6C"/>
    <w:rsid w:val="00723171"/>
    <w:rsid w:val="007253F2"/>
    <w:rsid w:val="0073129E"/>
    <w:rsid w:val="00732F51"/>
    <w:rsid w:val="00743575"/>
    <w:rsid w:val="007509D5"/>
    <w:rsid w:val="007511A0"/>
    <w:rsid w:val="00755800"/>
    <w:rsid w:val="00756C91"/>
    <w:rsid w:val="00763C86"/>
    <w:rsid w:val="00764CE7"/>
    <w:rsid w:val="007738B8"/>
    <w:rsid w:val="0077724A"/>
    <w:rsid w:val="007828CC"/>
    <w:rsid w:val="0078774A"/>
    <w:rsid w:val="0079374A"/>
    <w:rsid w:val="007A0123"/>
    <w:rsid w:val="007A33DE"/>
    <w:rsid w:val="007A6BE3"/>
    <w:rsid w:val="007C0B2B"/>
    <w:rsid w:val="007C0F8D"/>
    <w:rsid w:val="007E7D2E"/>
    <w:rsid w:val="007F026D"/>
    <w:rsid w:val="007F0696"/>
    <w:rsid w:val="007F760C"/>
    <w:rsid w:val="007F7A0E"/>
    <w:rsid w:val="008021DD"/>
    <w:rsid w:val="00802974"/>
    <w:rsid w:val="00812913"/>
    <w:rsid w:val="0081471C"/>
    <w:rsid w:val="008222F7"/>
    <w:rsid w:val="008244BC"/>
    <w:rsid w:val="008252E4"/>
    <w:rsid w:val="00825540"/>
    <w:rsid w:val="00835682"/>
    <w:rsid w:val="00840772"/>
    <w:rsid w:val="0084208E"/>
    <w:rsid w:val="00845B24"/>
    <w:rsid w:val="0084730F"/>
    <w:rsid w:val="008531BA"/>
    <w:rsid w:val="00855F72"/>
    <w:rsid w:val="00861D68"/>
    <w:rsid w:val="008716ED"/>
    <w:rsid w:val="00876E3F"/>
    <w:rsid w:val="008825F0"/>
    <w:rsid w:val="00883936"/>
    <w:rsid w:val="00884FEE"/>
    <w:rsid w:val="0088567D"/>
    <w:rsid w:val="00897556"/>
    <w:rsid w:val="008A0496"/>
    <w:rsid w:val="008A1B12"/>
    <w:rsid w:val="008A2D1A"/>
    <w:rsid w:val="008A2EDF"/>
    <w:rsid w:val="008A3B7F"/>
    <w:rsid w:val="008A5241"/>
    <w:rsid w:val="008A70DB"/>
    <w:rsid w:val="008A7678"/>
    <w:rsid w:val="008B472A"/>
    <w:rsid w:val="008B4E58"/>
    <w:rsid w:val="008B590C"/>
    <w:rsid w:val="008B7461"/>
    <w:rsid w:val="008C498E"/>
    <w:rsid w:val="008C5E93"/>
    <w:rsid w:val="008E6FB3"/>
    <w:rsid w:val="008E708B"/>
    <w:rsid w:val="008F2B98"/>
    <w:rsid w:val="008F50EE"/>
    <w:rsid w:val="008F6240"/>
    <w:rsid w:val="00902076"/>
    <w:rsid w:val="00902DD5"/>
    <w:rsid w:val="0090313A"/>
    <w:rsid w:val="009063CE"/>
    <w:rsid w:val="00906BE1"/>
    <w:rsid w:val="00912CE7"/>
    <w:rsid w:val="00917284"/>
    <w:rsid w:val="00917F5E"/>
    <w:rsid w:val="009263BF"/>
    <w:rsid w:val="00931667"/>
    <w:rsid w:val="00931905"/>
    <w:rsid w:val="00933858"/>
    <w:rsid w:val="00936740"/>
    <w:rsid w:val="00937074"/>
    <w:rsid w:val="009407D2"/>
    <w:rsid w:val="00942D2C"/>
    <w:rsid w:val="0094340C"/>
    <w:rsid w:val="009436A4"/>
    <w:rsid w:val="00952198"/>
    <w:rsid w:val="0095459D"/>
    <w:rsid w:val="00956082"/>
    <w:rsid w:val="00957B6D"/>
    <w:rsid w:val="00960F2E"/>
    <w:rsid w:val="0096668F"/>
    <w:rsid w:val="00982C44"/>
    <w:rsid w:val="00987220"/>
    <w:rsid w:val="00994941"/>
    <w:rsid w:val="009951F1"/>
    <w:rsid w:val="009A1502"/>
    <w:rsid w:val="009B073E"/>
    <w:rsid w:val="009B3435"/>
    <w:rsid w:val="009B3B55"/>
    <w:rsid w:val="009B605A"/>
    <w:rsid w:val="009C3A11"/>
    <w:rsid w:val="009C777F"/>
    <w:rsid w:val="009C7BD6"/>
    <w:rsid w:val="009D12E8"/>
    <w:rsid w:val="009D25DC"/>
    <w:rsid w:val="009E1701"/>
    <w:rsid w:val="009E695D"/>
    <w:rsid w:val="009F0AEF"/>
    <w:rsid w:val="009F1AFA"/>
    <w:rsid w:val="009F5AE6"/>
    <w:rsid w:val="00A009D6"/>
    <w:rsid w:val="00A00C4C"/>
    <w:rsid w:val="00A05E70"/>
    <w:rsid w:val="00A060B5"/>
    <w:rsid w:val="00A07D0E"/>
    <w:rsid w:val="00A07EED"/>
    <w:rsid w:val="00A1072C"/>
    <w:rsid w:val="00A1574E"/>
    <w:rsid w:val="00A21F31"/>
    <w:rsid w:val="00A329B2"/>
    <w:rsid w:val="00A42171"/>
    <w:rsid w:val="00A52334"/>
    <w:rsid w:val="00A52D0F"/>
    <w:rsid w:val="00A61013"/>
    <w:rsid w:val="00A645AC"/>
    <w:rsid w:val="00A655C7"/>
    <w:rsid w:val="00A676CA"/>
    <w:rsid w:val="00A75969"/>
    <w:rsid w:val="00A81096"/>
    <w:rsid w:val="00A85081"/>
    <w:rsid w:val="00A920EB"/>
    <w:rsid w:val="00AA3043"/>
    <w:rsid w:val="00AB5C71"/>
    <w:rsid w:val="00AB7549"/>
    <w:rsid w:val="00AC3E5E"/>
    <w:rsid w:val="00AC4A12"/>
    <w:rsid w:val="00AD64B5"/>
    <w:rsid w:val="00AD75FF"/>
    <w:rsid w:val="00AF52D3"/>
    <w:rsid w:val="00AF58E9"/>
    <w:rsid w:val="00AF71EE"/>
    <w:rsid w:val="00B0097D"/>
    <w:rsid w:val="00B036D3"/>
    <w:rsid w:val="00B064AC"/>
    <w:rsid w:val="00B124F1"/>
    <w:rsid w:val="00B12BC0"/>
    <w:rsid w:val="00B12C98"/>
    <w:rsid w:val="00B15D53"/>
    <w:rsid w:val="00B165A4"/>
    <w:rsid w:val="00B16907"/>
    <w:rsid w:val="00B231DF"/>
    <w:rsid w:val="00B2329A"/>
    <w:rsid w:val="00B263FB"/>
    <w:rsid w:val="00B30658"/>
    <w:rsid w:val="00B30B16"/>
    <w:rsid w:val="00B31376"/>
    <w:rsid w:val="00B31CB4"/>
    <w:rsid w:val="00B34D23"/>
    <w:rsid w:val="00B37F77"/>
    <w:rsid w:val="00B50807"/>
    <w:rsid w:val="00B5592A"/>
    <w:rsid w:val="00B57716"/>
    <w:rsid w:val="00B62022"/>
    <w:rsid w:val="00B62100"/>
    <w:rsid w:val="00B74FE3"/>
    <w:rsid w:val="00B767D5"/>
    <w:rsid w:val="00B77741"/>
    <w:rsid w:val="00B77947"/>
    <w:rsid w:val="00B8278B"/>
    <w:rsid w:val="00B860B0"/>
    <w:rsid w:val="00B862E7"/>
    <w:rsid w:val="00B86794"/>
    <w:rsid w:val="00B93206"/>
    <w:rsid w:val="00B95704"/>
    <w:rsid w:val="00B962B5"/>
    <w:rsid w:val="00BA1255"/>
    <w:rsid w:val="00BB6C9D"/>
    <w:rsid w:val="00BB7F8A"/>
    <w:rsid w:val="00BC20DF"/>
    <w:rsid w:val="00BC3297"/>
    <w:rsid w:val="00BC4F57"/>
    <w:rsid w:val="00BD15EF"/>
    <w:rsid w:val="00BD5B00"/>
    <w:rsid w:val="00BD68E6"/>
    <w:rsid w:val="00BE522F"/>
    <w:rsid w:val="00BE535B"/>
    <w:rsid w:val="00BE7608"/>
    <w:rsid w:val="00BE7CAF"/>
    <w:rsid w:val="00BF01CC"/>
    <w:rsid w:val="00BF286F"/>
    <w:rsid w:val="00BF497E"/>
    <w:rsid w:val="00C018BA"/>
    <w:rsid w:val="00C06F58"/>
    <w:rsid w:val="00C1267B"/>
    <w:rsid w:val="00C20A3E"/>
    <w:rsid w:val="00C21D95"/>
    <w:rsid w:val="00C2286C"/>
    <w:rsid w:val="00C33368"/>
    <w:rsid w:val="00C40708"/>
    <w:rsid w:val="00C41562"/>
    <w:rsid w:val="00C55903"/>
    <w:rsid w:val="00C619A5"/>
    <w:rsid w:val="00C80A93"/>
    <w:rsid w:val="00C80EEB"/>
    <w:rsid w:val="00C82310"/>
    <w:rsid w:val="00C8498F"/>
    <w:rsid w:val="00C85AE2"/>
    <w:rsid w:val="00C93030"/>
    <w:rsid w:val="00C93A9A"/>
    <w:rsid w:val="00C94CBF"/>
    <w:rsid w:val="00CA0349"/>
    <w:rsid w:val="00CA0D55"/>
    <w:rsid w:val="00CA2145"/>
    <w:rsid w:val="00CA31B7"/>
    <w:rsid w:val="00CA466F"/>
    <w:rsid w:val="00CA7115"/>
    <w:rsid w:val="00CB03F6"/>
    <w:rsid w:val="00CB1B55"/>
    <w:rsid w:val="00CB5402"/>
    <w:rsid w:val="00CC2364"/>
    <w:rsid w:val="00CC396F"/>
    <w:rsid w:val="00CD52C8"/>
    <w:rsid w:val="00CD58E6"/>
    <w:rsid w:val="00CD78C3"/>
    <w:rsid w:val="00CE3809"/>
    <w:rsid w:val="00CF2D74"/>
    <w:rsid w:val="00CF4F14"/>
    <w:rsid w:val="00D004DC"/>
    <w:rsid w:val="00D050A7"/>
    <w:rsid w:val="00D06501"/>
    <w:rsid w:val="00D07BE1"/>
    <w:rsid w:val="00D2239A"/>
    <w:rsid w:val="00D305DF"/>
    <w:rsid w:val="00D32C37"/>
    <w:rsid w:val="00D35FF0"/>
    <w:rsid w:val="00D404A6"/>
    <w:rsid w:val="00D4050F"/>
    <w:rsid w:val="00D4121D"/>
    <w:rsid w:val="00D41760"/>
    <w:rsid w:val="00D41873"/>
    <w:rsid w:val="00D4662E"/>
    <w:rsid w:val="00D475F9"/>
    <w:rsid w:val="00D50F63"/>
    <w:rsid w:val="00D54C6B"/>
    <w:rsid w:val="00D54FCF"/>
    <w:rsid w:val="00D550F2"/>
    <w:rsid w:val="00D6597E"/>
    <w:rsid w:val="00D7348E"/>
    <w:rsid w:val="00D81285"/>
    <w:rsid w:val="00D86F6D"/>
    <w:rsid w:val="00D9249B"/>
    <w:rsid w:val="00DA221E"/>
    <w:rsid w:val="00DA36DC"/>
    <w:rsid w:val="00DB30DE"/>
    <w:rsid w:val="00DB44A8"/>
    <w:rsid w:val="00DB72FF"/>
    <w:rsid w:val="00DC2764"/>
    <w:rsid w:val="00DC28AA"/>
    <w:rsid w:val="00DC5C45"/>
    <w:rsid w:val="00DC61AD"/>
    <w:rsid w:val="00DE1210"/>
    <w:rsid w:val="00DE7DF1"/>
    <w:rsid w:val="00DF3566"/>
    <w:rsid w:val="00DF3854"/>
    <w:rsid w:val="00DF4EF4"/>
    <w:rsid w:val="00DF5D03"/>
    <w:rsid w:val="00E12FE4"/>
    <w:rsid w:val="00E23735"/>
    <w:rsid w:val="00E32ED2"/>
    <w:rsid w:val="00E35438"/>
    <w:rsid w:val="00E35507"/>
    <w:rsid w:val="00E41A22"/>
    <w:rsid w:val="00E446B7"/>
    <w:rsid w:val="00E44CB7"/>
    <w:rsid w:val="00E46553"/>
    <w:rsid w:val="00E75D8F"/>
    <w:rsid w:val="00E8191A"/>
    <w:rsid w:val="00E86C7D"/>
    <w:rsid w:val="00E87624"/>
    <w:rsid w:val="00E93A5F"/>
    <w:rsid w:val="00E945EF"/>
    <w:rsid w:val="00E96687"/>
    <w:rsid w:val="00EA3688"/>
    <w:rsid w:val="00EA6B94"/>
    <w:rsid w:val="00EA7FAC"/>
    <w:rsid w:val="00EB0510"/>
    <w:rsid w:val="00EC1928"/>
    <w:rsid w:val="00EC32AB"/>
    <w:rsid w:val="00ED0499"/>
    <w:rsid w:val="00ED0788"/>
    <w:rsid w:val="00ED16B2"/>
    <w:rsid w:val="00ED4BBD"/>
    <w:rsid w:val="00ED724E"/>
    <w:rsid w:val="00EE626E"/>
    <w:rsid w:val="00EE6A73"/>
    <w:rsid w:val="00EF67ED"/>
    <w:rsid w:val="00F0288C"/>
    <w:rsid w:val="00F04AD3"/>
    <w:rsid w:val="00F10DB7"/>
    <w:rsid w:val="00F11E9B"/>
    <w:rsid w:val="00F12B9F"/>
    <w:rsid w:val="00F13070"/>
    <w:rsid w:val="00F2199C"/>
    <w:rsid w:val="00F23F82"/>
    <w:rsid w:val="00F46D58"/>
    <w:rsid w:val="00F50E54"/>
    <w:rsid w:val="00F51085"/>
    <w:rsid w:val="00F53979"/>
    <w:rsid w:val="00F55CC6"/>
    <w:rsid w:val="00F63D9B"/>
    <w:rsid w:val="00F7019B"/>
    <w:rsid w:val="00F711D8"/>
    <w:rsid w:val="00F721C7"/>
    <w:rsid w:val="00F72F8A"/>
    <w:rsid w:val="00F81653"/>
    <w:rsid w:val="00F84B79"/>
    <w:rsid w:val="00F91CF3"/>
    <w:rsid w:val="00F97932"/>
    <w:rsid w:val="00FA64CC"/>
    <w:rsid w:val="00FB73FE"/>
    <w:rsid w:val="00FC3DFA"/>
    <w:rsid w:val="00FC4D2C"/>
    <w:rsid w:val="00FC638A"/>
    <w:rsid w:val="00FD0FB3"/>
    <w:rsid w:val="00FD2F00"/>
    <w:rsid w:val="00FD3208"/>
    <w:rsid w:val="00FD4A25"/>
    <w:rsid w:val="00FE3D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599A06"/>
  <w15:docId w15:val="{0EDD2224-BA71-4D54-B3D8-983EE8282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217"/>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link w:val="BodyTextIndentChar"/>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character" w:styleId="IntenseReference">
    <w:name w:val="Intense Reference"/>
    <w:uiPriority w:val="32"/>
    <w:qFormat/>
    <w:rsid w:val="00BA1255"/>
    <w:rPr>
      <w:b/>
      <w:bCs/>
      <w:smallCaps/>
      <w:color w:val="5B9BD5"/>
      <w:spacing w:val="5"/>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2B221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8222F7"/>
    <w:rPr>
      <w:sz w:val="16"/>
      <w:szCs w:val="16"/>
    </w:rPr>
  </w:style>
  <w:style w:type="paragraph" w:styleId="CommentText">
    <w:name w:val="annotation text"/>
    <w:basedOn w:val="Normal"/>
    <w:link w:val="CommentTextChar"/>
    <w:rsid w:val="008222F7"/>
  </w:style>
  <w:style w:type="character" w:customStyle="1" w:styleId="CommentTextChar">
    <w:name w:val="Comment Text Char"/>
    <w:basedOn w:val="DefaultParagraphFont"/>
    <w:link w:val="CommentText"/>
    <w:rsid w:val="008222F7"/>
  </w:style>
  <w:style w:type="paragraph" w:styleId="CommentSubject">
    <w:name w:val="annotation subject"/>
    <w:basedOn w:val="CommentText"/>
    <w:next w:val="CommentText"/>
    <w:link w:val="CommentSubjectChar"/>
    <w:rsid w:val="008222F7"/>
    <w:rPr>
      <w:b/>
      <w:bCs/>
    </w:rPr>
  </w:style>
  <w:style w:type="character" w:customStyle="1" w:styleId="CommentSubjectChar">
    <w:name w:val="Comment Subject Char"/>
    <w:link w:val="CommentSubject"/>
    <w:rsid w:val="008222F7"/>
    <w:rPr>
      <w:b/>
      <w:bCs/>
    </w:rPr>
  </w:style>
  <w:style w:type="paragraph" w:styleId="Revision">
    <w:name w:val="Revision"/>
    <w:hidden/>
    <w:uiPriority w:val="99"/>
    <w:semiHidden/>
    <w:rsid w:val="008222F7"/>
    <w:rPr>
      <w:lang w:val="en-GB" w:eastAsia="en-GB"/>
    </w:rPr>
  </w:style>
  <w:style w:type="character" w:customStyle="1" w:styleId="BodyTextChar">
    <w:name w:val="Body Text Char"/>
    <w:link w:val="BodyText"/>
    <w:rsid w:val="00DF3566"/>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395A65"/>
  </w:style>
  <w:style w:type="paragraph" w:customStyle="1" w:styleId="Numbered">
    <w:name w:val="Numbered"/>
    <w:basedOn w:val="Normal"/>
    <w:link w:val="NumberedChar"/>
    <w:qFormat/>
    <w:rsid w:val="0061177F"/>
    <w:pPr>
      <w:numPr>
        <w:numId w:val="10"/>
      </w:numPr>
      <w:jc w:val="both"/>
    </w:pPr>
    <w:rPr>
      <w:sz w:val="24"/>
      <w:szCs w:val="24"/>
    </w:rPr>
  </w:style>
  <w:style w:type="character" w:customStyle="1" w:styleId="NumberedChar">
    <w:name w:val="Numbered Char"/>
    <w:link w:val="Numbered"/>
    <w:rsid w:val="0061177F"/>
    <w:rPr>
      <w:sz w:val="24"/>
      <w:szCs w:val="24"/>
      <w:lang w:val="en-GB" w:eastAsia="en-GB"/>
    </w:rPr>
  </w:style>
  <w:style w:type="paragraph" w:customStyle="1" w:styleId="PRAGHeading2">
    <w:name w:val="PRAG Heading 2"/>
    <w:basedOn w:val="Normal"/>
    <w:rsid w:val="00D4662E"/>
    <w:pPr>
      <w:widowControl w:val="0"/>
      <w:numPr>
        <w:numId w:val="11"/>
      </w:numPr>
      <w:spacing w:before="100" w:after="100"/>
    </w:pPr>
    <w:rPr>
      <w:snapToGrid w:val="0"/>
      <w:sz w:val="24"/>
      <w:lang w:val="fr-FR" w:eastAsia="en-US"/>
    </w:rPr>
  </w:style>
  <w:style w:type="paragraph" w:styleId="Caption">
    <w:name w:val="caption"/>
    <w:basedOn w:val="Normal"/>
    <w:next w:val="Normal"/>
    <w:semiHidden/>
    <w:unhideWhenUsed/>
    <w:qFormat/>
    <w:rsid w:val="00DE7DF1"/>
    <w:pPr>
      <w:spacing w:after="200" w:line="360" w:lineRule="auto"/>
      <w:jc w:val="both"/>
    </w:pPr>
    <w:rPr>
      <w:rFonts w:ascii="Calibri" w:eastAsia="Calibri" w:hAnsi="Calibri"/>
      <w:b/>
      <w:bCs/>
      <w:szCs w:val="22"/>
      <w:lang w:val="mk-MK" w:eastAsia="en-US"/>
    </w:rPr>
  </w:style>
  <w:style w:type="character" w:customStyle="1" w:styleId="BodyTextIndentChar">
    <w:name w:val="Body Text Indent Char"/>
    <w:link w:val="BodyTextIndent"/>
    <w:rsid w:val="0081471C"/>
    <w:rPr>
      <w:sz w:val="24"/>
      <w:lang w:val="en-GB" w:eastAsia="en-GB"/>
    </w:rPr>
  </w:style>
  <w:style w:type="character" w:customStyle="1" w:styleId="HeaderChar">
    <w:name w:val="Header Char"/>
    <w:link w:val="Header"/>
    <w:uiPriority w:val="99"/>
    <w:rsid w:val="007C0B2B"/>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722484293">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035471140">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718698738">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 w:id="194839260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header" Target="header1.xml"/><Relationship Id="rId18" Type="http://schemas.openxmlformats.org/officeDocument/2006/relationships/hyperlink" Target="http://ec.europa.eu/europeaid/prag/annexes.do?chapterTitleCode=A"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ec.europa.eu/europeaid/prag/document.do" TargetMode="External"/><Relationship Id="rId2" Type="http://schemas.openxmlformats.org/officeDocument/2006/relationships/numbering" Target="numbering.xml"/><Relationship Id="rId16" Type="http://schemas.openxmlformats.org/officeDocument/2006/relationships/hyperlink" Target="http://ec.europa.eu/europeaid/prag/document.do"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c.europa.eu/europeaid/prag/document.do" TargetMode="External"/><Relationship Id="rId23" Type="http://schemas.openxmlformats.org/officeDocument/2006/relationships/fontTable" Target="fontTable.xml"/><Relationship Id="rId10" Type="http://schemas.openxmlformats.org/officeDocument/2006/relationships/hyperlink" Target="http://ec.europa.eu/budget/graphs/inforeuro.html" TargetMode="External"/><Relationship Id="rId19" Type="http://schemas.openxmlformats.org/officeDocument/2006/relationships/hyperlink" Target="http://ec.europa.eu/budget/explained/management/protecting/protect_en.cfm"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footer" Target="footer3.xml"/><Relationship Id="rId22" Type="http://schemas.openxmlformats.org/officeDocument/2006/relationships/footer" Target="footer5.xml"/></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208F0-F607-4DCE-9F7E-7EC6188CE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4576</Words>
  <Characters>26086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30601</CharactersWithSpaces>
  <SharedDoc>false</SharedDoc>
  <HLinks>
    <vt:vector size="48" baseType="variant">
      <vt:variant>
        <vt:i4>4784161</vt:i4>
      </vt:variant>
      <vt:variant>
        <vt:i4>30</vt:i4>
      </vt:variant>
      <vt:variant>
        <vt:i4>0</vt:i4>
      </vt:variant>
      <vt:variant>
        <vt:i4>5</vt:i4>
      </vt:variant>
      <vt:variant>
        <vt:lpwstr>http://ec.europa.eu/budget/explained/management/protecting/protect_en.cfm</vt:lpwstr>
      </vt:variant>
      <vt:variant>
        <vt:lpwstr/>
      </vt:variant>
      <vt:variant>
        <vt:i4>5308446</vt:i4>
      </vt:variant>
      <vt:variant>
        <vt:i4>27</vt:i4>
      </vt:variant>
      <vt:variant>
        <vt:i4>0</vt:i4>
      </vt:variant>
      <vt:variant>
        <vt:i4>5</vt:i4>
      </vt:variant>
      <vt:variant>
        <vt:lpwstr>http://ec.europa.eu/europeaid/prag/annexes.do?chapterTitleCode=A</vt:lpwstr>
      </vt:variant>
      <vt:variant>
        <vt:lpwstr/>
      </vt:variant>
      <vt:variant>
        <vt:i4>4784206</vt:i4>
      </vt:variant>
      <vt:variant>
        <vt:i4>24</vt:i4>
      </vt:variant>
      <vt:variant>
        <vt:i4>0</vt:i4>
      </vt:variant>
      <vt:variant>
        <vt:i4>5</vt:i4>
      </vt:variant>
      <vt:variant>
        <vt:lpwstr>https://webgate.ec.europa.eu/europeaid/online-services/index.cfm?do=publi.welcome</vt:lpwstr>
      </vt:variant>
      <vt:variant>
        <vt:lpwstr/>
      </vt: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Sandra Sokolenko Todoroska</cp:lastModifiedBy>
  <cp:revision>4</cp:revision>
  <cp:lastPrinted>2018-07-03T12:42:00Z</cp:lastPrinted>
  <dcterms:created xsi:type="dcterms:W3CDTF">2021-04-29T09:27:00Z</dcterms:created>
  <dcterms:modified xsi:type="dcterms:W3CDTF">2021-04-29T11:02:00Z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